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CE8" w:rsidRPr="00BC4A56" w:rsidRDefault="008C4CE8" w:rsidP="008C4CE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</w:rPr>
      </w:pPr>
      <w:r w:rsidRPr="00BC4A56">
        <w:rPr>
          <w:rFonts w:eastAsia="Times New Roman" w:cstheme="minorHAnsi"/>
          <w:b/>
          <w:bCs/>
          <w:color w:val="222222"/>
          <w:sz w:val="24"/>
          <w:szCs w:val="24"/>
        </w:rPr>
        <w:t xml:space="preserve">Attivazione di un Piano di Innovazione Family </w:t>
      </w:r>
      <w:proofErr w:type="spellStart"/>
      <w:r w:rsidRPr="00BC4A56">
        <w:rPr>
          <w:rFonts w:eastAsia="Times New Roman" w:cstheme="minorHAnsi"/>
          <w:b/>
          <w:bCs/>
          <w:color w:val="222222"/>
          <w:sz w:val="24"/>
          <w:szCs w:val="24"/>
        </w:rPr>
        <w:t>Friendly</w:t>
      </w:r>
      <w:proofErr w:type="spellEnd"/>
      <w:r w:rsidRPr="00BC4A56">
        <w:rPr>
          <w:rFonts w:eastAsia="Times New Roman" w:cstheme="minorHAnsi"/>
          <w:b/>
          <w:bCs/>
          <w:color w:val="222222"/>
          <w:sz w:val="24"/>
          <w:szCs w:val="24"/>
        </w:rPr>
        <w:t xml:space="preserve"> nelle PMI” - POR Puglia FESR–FSE 2014–2020 OT VIII Azione 8.6 Sub azione 8.6.b – D.D. 195/2020 e DD 383/2020 </w:t>
      </w:r>
    </w:p>
    <w:p w:rsidR="00DD6992" w:rsidRPr="00BC4A56" w:rsidRDefault="00DD6992" w:rsidP="00D23CD2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</w:rPr>
      </w:pPr>
    </w:p>
    <w:p w:rsidR="00BC4A56" w:rsidRPr="00BC4A56" w:rsidRDefault="00BC4A56" w:rsidP="00D23CD2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sz w:val="24"/>
          <w:szCs w:val="24"/>
        </w:rPr>
      </w:pPr>
      <w:r w:rsidRPr="00BC4A56">
        <w:rPr>
          <w:rFonts w:eastAsia="Times New Roman" w:cstheme="minorHAnsi"/>
          <w:bCs/>
          <w:color w:val="222222"/>
          <w:sz w:val="24"/>
          <w:szCs w:val="24"/>
        </w:rPr>
        <w:t>Avviso a sportello</w:t>
      </w:r>
    </w:p>
    <w:p w:rsidR="00BC4A56" w:rsidRPr="00BC4A56" w:rsidRDefault="00BC4A56" w:rsidP="00D23CD2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sz w:val="24"/>
          <w:szCs w:val="24"/>
        </w:rPr>
      </w:pPr>
      <w:r w:rsidRPr="00BC4A56">
        <w:rPr>
          <w:rFonts w:eastAsia="Times New Roman" w:cstheme="minorHAnsi"/>
          <w:bCs/>
          <w:color w:val="222222"/>
          <w:sz w:val="24"/>
          <w:szCs w:val="24"/>
        </w:rPr>
        <w:t>Risorse disponibili 14.500.000,00</w:t>
      </w:r>
    </w:p>
    <w:p w:rsidR="008C4CE8" w:rsidRPr="00BC4A56" w:rsidRDefault="008C4CE8" w:rsidP="00D23CD2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</w:rPr>
      </w:pPr>
    </w:p>
    <w:p w:rsidR="00BC4A56" w:rsidRPr="00BC4A56" w:rsidRDefault="00BC4A56" w:rsidP="00BC4A56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sz w:val="24"/>
          <w:szCs w:val="24"/>
        </w:rPr>
      </w:pPr>
      <w:r w:rsidRPr="00BC4A56">
        <w:rPr>
          <w:rFonts w:eastAsia="Times New Roman" w:cstheme="minorHAnsi"/>
          <w:b/>
          <w:bCs/>
          <w:color w:val="222222"/>
          <w:sz w:val="24"/>
          <w:szCs w:val="24"/>
        </w:rPr>
        <w:t>Monitoraggio istanze al 2/07/2020</w:t>
      </w:r>
    </w:p>
    <w:p w:rsidR="00DD6992" w:rsidRPr="00BC4A56" w:rsidRDefault="00DD6992" w:rsidP="00D23CD2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8047"/>
        <w:gridCol w:w="1807"/>
      </w:tblGrid>
      <w:tr w:rsidR="008C4CE8" w:rsidRPr="00BC4A56" w:rsidTr="00BC4A56">
        <w:tc>
          <w:tcPr>
            <w:tcW w:w="4083" w:type="pct"/>
          </w:tcPr>
          <w:p w:rsidR="008C4CE8" w:rsidRPr="00BC4A56" w:rsidRDefault="008C4CE8" w:rsidP="005C010F">
            <w:pPr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</w:rPr>
            </w:pPr>
            <w:proofErr w:type="spellStart"/>
            <w:r w:rsidRPr="00BC4A56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</w:rPr>
              <w:t>N.Istanze</w:t>
            </w:r>
            <w:proofErr w:type="spellEnd"/>
            <w:r w:rsidRPr="00BC4A56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</w:rPr>
              <w:t xml:space="preserve"> pervenute </w:t>
            </w:r>
            <w:r w:rsidR="00BC4A56" w:rsidRPr="00BC4A56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</w:rPr>
              <w:t>al 2/07/2020</w:t>
            </w:r>
          </w:p>
        </w:tc>
        <w:tc>
          <w:tcPr>
            <w:tcW w:w="917" w:type="pct"/>
            <w:vAlign w:val="center"/>
          </w:tcPr>
          <w:p w:rsidR="008C4CE8" w:rsidRPr="00BC4A56" w:rsidRDefault="008C4CE8" w:rsidP="00BC4A56">
            <w:pPr>
              <w:jc w:val="right"/>
              <w:rPr>
                <w:rFonts w:eastAsia="Times New Roman" w:cstheme="minorHAnsi"/>
                <w:bCs/>
                <w:color w:val="222222"/>
                <w:sz w:val="24"/>
                <w:szCs w:val="24"/>
              </w:rPr>
            </w:pPr>
            <w:r w:rsidRPr="00BC4A56">
              <w:rPr>
                <w:rFonts w:eastAsia="Times New Roman" w:cstheme="minorHAnsi"/>
                <w:bCs/>
                <w:color w:val="222222"/>
                <w:sz w:val="24"/>
                <w:szCs w:val="24"/>
              </w:rPr>
              <w:t>390</w:t>
            </w:r>
          </w:p>
        </w:tc>
      </w:tr>
    </w:tbl>
    <w:p w:rsidR="00DD6992" w:rsidRPr="00BC4A56" w:rsidRDefault="00DD6992" w:rsidP="00D23CD2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</w:rPr>
      </w:pPr>
    </w:p>
    <w:p w:rsidR="000B5ECF" w:rsidRPr="00BC4A56" w:rsidRDefault="000B5ECF" w:rsidP="00D23CD2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</w:rPr>
      </w:pPr>
    </w:p>
    <w:p w:rsidR="00A1020B" w:rsidRPr="00BC4A56" w:rsidRDefault="00DD6992" w:rsidP="00D23CD2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</w:rPr>
      </w:pPr>
      <w:r w:rsidRPr="00BC4A56">
        <w:rPr>
          <w:rFonts w:eastAsia="Times New Roman" w:cstheme="minorHAnsi"/>
          <w:b/>
          <w:bCs/>
          <w:color w:val="222222"/>
          <w:sz w:val="24"/>
          <w:szCs w:val="24"/>
        </w:rPr>
        <w:t>Istruttoria Ammissibilità formale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8047"/>
        <w:gridCol w:w="1807"/>
      </w:tblGrid>
      <w:tr w:rsidR="00DD6992" w:rsidRPr="00BC4A56" w:rsidTr="008C4CE8">
        <w:tc>
          <w:tcPr>
            <w:tcW w:w="4083" w:type="pct"/>
          </w:tcPr>
          <w:p w:rsidR="00DD6992" w:rsidRPr="00BC4A56" w:rsidRDefault="00DD6992" w:rsidP="00DD6992">
            <w:pPr>
              <w:rPr>
                <w:rFonts w:eastAsia="Times New Roman" w:cstheme="minorHAnsi"/>
                <w:bCs/>
                <w:color w:val="222222"/>
                <w:sz w:val="24"/>
                <w:szCs w:val="24"/>
              </w:rPr>
            </w:pPr>
            <w:r w:rsidRPr="00BC4A56">
              <w:rPr>
                <w:rFonts w:eastAsia="Times New Roman" w:cstheme="minorHAnsi"/>
                <w:bCs/>
                <w:color w:val="222222"/>
                <w:sz w:val="24"/>
                <w:szCs w:val="24"/>
              </w:rPr>
              <w:t xml:space="preserve">N. Istanze in corso di istruttoria di ammissibilità </w:t>
            </w:r>
          </w:p>
        </w:tc>
        <w:tc>
          <w:tcPr>
            <w:tcW w:w="917" w:type="pct"/>
            <w:vAlign w:val="center"/>
          </w:tcPr>
          <w:p w:rsidR="00DD6992" w:rsidRPr="00BC4A56" w:rsidRDefault="00DD6992" w:rsidP="008C4CE8">
            <w:pPr>
              <w:jc w:val="right"/>
              <w:rPr>
                <w:rFonts w:eastAsia="Times New Roman" w:cstheme="minorHAnsi"/>
                <w:bCs/>
                <w:color w:val="222222"/>
                <w:sz w:val="24"/>
                <w:szCs w:val="24"/>
              </w:rPr>
            </w:pPr>
            <w:r w:rsidRPr="00BC4A56">
              <w:rPr>
                <w:rFonts w:eastAsia="Times New Roman" w:cstheme="minorHAnsi"/>
                <w:bCs/>
                <w:color w:val="222222"/>
                <w:sz w:val="24"/>
                <w:szCs w:val="24"/>
              </w:rPr>
              <w:t>2</w:t>
            </w:r>
          </w:p>
        </w:tc>
      </w:tr>
      <w:tr w:rsidR="00DD6992" w:rsidRPr="00BC4A56" w:rsidTr="008C4CE8">
        <w:tc>
          <w:tcPr>
            <w:tcW w:w="4083" w:type="pct"/>
          </w:tcPr>
          <w:p w:rsidR="00DD6992" w:rsidRPr="00BC4A56" w:rsidRDefault="00DD6992" w:rsidP="00DD6992">
            <w:pPr>
              <w:rPr>
                <w:rFonts w:eastAsia="Times New Roman" w:cstheme="minorHAnsi"/>
                <w:bCs/>
                <w:color w:val="222222"/>
                <w:sz w:val="24"/>
                <w:szCs w:val="24"/>
              </w:rPr>
            </w:pPr>
            <w:proofErr w:type="spellStart"/>
            <w:r w:rsidRPr="00BC4A56">
              <w:rPr>
                <w:rFonts w:eastAsia="Times New Roman" w:cstheme="minorHAnsi"/>
                <w:bCs/>
                <w:color w:val="222222"/>
                <w:sz w:val="24"/>
                <w:szCs w:val="24"/>
              </w:rPr>
              <w:t>N.Istanze</w:t>
            </w:r>
            <w:proofErr w:type="spellEnd"/>
            <w:r w:rsidRPr="00BC4A56">
              <w:rPr>
                <w:rFonts w:eastAsia="Times New Roman" w:cstheme="minorHAnsi"/>
                <w:bCs/>
                <w:color w:val="222222"/>
                <w:sz w:val="24"/>
                <w:szCs w:val="24"/>
              </w:rPr>
              <w:t xml:space="preserve"> di cui è stata completata istruttoria relativa alla ammissibilità formale, </w:t>
            </w:r>
            <w:r w:rsidRPr="00BC4A56">
              <w:rPr>
                <w:rFonts w:eastAsia="Times New Roman" w:cstheme="minorHAnsi"/>
                <w:bCs/>
                <w:i/>
                <w:color w:val="222222"/>
                <w:sz w:val="24"/>
                <w:szCs w:val="24"/>
              </w:rPr>
              <w:t>di cui</w:t>
            </w:r>
            <w:r w:rsidRPr="00BC4A56">
              <w:rPr>
                <w:rFonts w:eastAsia="Times New Roman" w:cstheme="minorHAnsi"/>
                <w:bCs/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917" w:type="pct"/>
            <w:vAlign w:val="center"/>
          </w:tcPr>
          <w:p w:rsidR="00DD6992" w:rsidRPr="00BC4A56" w:rsidRDefault="00DD6992" w:rsidP="008C4CE8">
            <w:pPr>
              <w:jc w:val="right"/>
              <w:rPr>
                <w:rFonts w:eastAsia="Times New Roman" w:cstheme="minorHAnsi"/>
                <w:bCs/>
                <w:color w:val="222222"/>
                <w:sz w:val="24"/>
                <w:szCs w:val="24"/>
              </w:rPr>
            </w:pPr>
            <w:r w:rsidRPr="00BC4A56">
              <w:rPr>
                <w:rFonts w:eastAsia="Times New Roman" w:cstheme="minorHAnsi"/>
                <w:bCs/>
                <w:color w:val="222222"/>
                <w:sz w:val="24"/>
                <w:szCs w:val="24"/>
              </w:rPr>
              <w:t>48</w:t>
            </w:r>
          </w:p>
        </w:tc>
      </w:tr>
      <w:tr w:rsidR="00DD6992" w:rsidRPr="00BC4A56" w:rsidTr="008C4CE8">
        <w:tc>
          <w:tcPr>
            <w:tcW w:w="4083" w:type="pct"/>
          </w:tcPr>
          <w:p w:rsidR="00DD6992" w:rsidRPr="00BC4A56" w:rsidRDefault="00BC4A56" w:rsidP="00C47D1C">
            <w:pPr>
              <w:rPr>
                <w:rFonts w:eastAsia="Times New Roman" w:cstheme="minorHAnsi"/>
                <w:bCs/>
                <w:i/>
                <w:color w:val="222222"/>
                <w:sz w:val="24"/>
                <w:szCs w:val="24"/>
              </w:rPr>
            </w:pPr>
            <w:r w:rsidRPr="00BC4A56">
              <w:rPr>
                <w:rFonts w:eastAsia="Times New Roman" w:cstheme="minorHAnsi"/>
                <w:bCs/>
                <w:i/>
                <w:color w:val="222222"/>
                <w:sz w:val="24"/>
                <w:szCs w:val="24"/>
                <w:u w:val="single"/>
              </w:rPr>
              <w:t>non</w:t>
            </w:r>
            <w:r w:rsidR="00DD6992" w:rsidRPr="00BC4A56">
              <w:rPr>
                <w:rFonts w:eastAsia="Times New Roman" w:cstheme="minorHAnsi"/>
                <w:bCs/>
                <w:i/>
                <w:color w:val="222222"/>
                <w:sz w:val="24"/>
                <w:szCs w:val="24"/>
              </w:rPr>
              <w:t xml:space="preserve"> amm</w:t>
            </w:r>
            <w:r w:rsidR="00C47D1C" w:rsidRPr="00BC4A56">
              <w:rPr>
                <w:rFonts w:eastAsia="Times New Roman" w:cstheme="minorHAnsi"/>
                <w:bCs/>
                <w:i/>
                <w:color w:val="222222"/>
                <w:sz w:val="24"/>
                <w:szCs w:val="24"/>
              </w:rPr>
              <w:t>i</w:t>
            </w:r>
            <w:r w:rsidR="00DD6992" w:rsidRPr="00BC4A56">
              <w:rPr>
                <w:rFonts w:eastAsia="Times New Roman" w:cstheme="minorHAnsi"/>
                <w:bCs/>
                <w:i/>
                <w:color w:val="222222"/>
                <w:sz w:val="24"/>
                <w:szCs w:val="24"/>
              </w:rPr>
              <w:t>ss</w:t>
            </w:r>
            <w:r w:rsidR="00C47D1C" w:rsidRPr="00BC4A56">
              <w:rPr>
                <w:rFonts w:eastAsia="Times New Roman" w:cstheme="minorHAnsi"/>
                <w:bCs/>
                <w:i/>
                <w:color w:val="222222"/>
                <w:sz w:val="24"/>
                <w:szCs w:val="24"/>
              </w:rPr>
              <w:t xml:space="preserve">ibili </w:t>
            </w:r>
            <w:r w:rsidR="00DD6992" w:rsidRPr="00BC4A56">
              <w:rPr>
                <w:rFonts w:eastAsia="Times New Roman" w:cstheme="minorHAnsi"/>
                <w:bCs/>
                <w:i/>
                <w:color w:val="222222"/>
                <w:sz w:val="24"/>
                <w:szCs w:val="24"/>
              </w:rPr>
              <w:t>e alla valutazione di merito</w:t>
            </w:r>
          </w:p>
        </w:tc>
        <w:tc>
          <w:tcPr>
            <w:tcW w:w="917" w:type="pct"/>
            <w:vAlign w:val="center"/>
          </w:tcPr>
          <w:p w:rsidR="00DD6992" w:rsidRPr="00BC4A56" w:rsidRDefault="00DD6992" w:rsidP="008C4CE8">
            <w:pPr>
              <w:jc w:val="right"/>
              <w:rPr>
                <w:rFonts w:eastAsia="Times New Roman" w:cstheme="minorHAnsi"/>
                <w:bCs/>
                <w:i/>
                <w:color w:val="222222"/>
                <w:sz w:val="24"/>
                <w:szCs w:val="24"/>
              </w:rPr>
            </w:pPr>
            <w:r w:rsidRPr="00BC4A56">
              <w:rPr>
                <w:rFonts w:eastAsia="Times New Roman" w:cstheme="minorHAnsi"/>
                <w:bCs/>
                <w:i/>
                <w:color w:val="222222"/>
                <w:sz w:val="24"/>
                <w:szCs w:val="24"/>
              </w:rPr>
              <w:t>24</w:t>
            </w:r>
          </w:p>
        </w:tc>
      </w:tr>
      <w:tr w:rsidR="00DD6992" w:rsidRPr="00BC4A56" w:rsidTr="008C4CE8">
        <w:tc>
          <w:tcPr>
            <w:tcW w:w="4083" w:type="pct"/>
          </w:tcPr>
          <w:p w:rsidR="00DD6992" w:rsidRPr="00BC4A56" w:rsidRDefault="00DD6992" w:rsidP="00F6739D">
            <w:pPr>
              <w:rPr>
                <w:rFonts w:eastAsia="Times New Roman" w:cstheme="minorHAnsi"/>
                <w:bCs/>
                <w:i/>
                <w:color w:val="222222"/>
                <w:sz w:val="24"/>
                <w:szCs w:val="24"/>
              </w:rPr>
            </w:pPr>
            <w:r w:rsidRPr="00BC4A56">
              <w:rPr>
                <w:rFonts w:eastAsia="Times New Roman" w:cstheme="minorHAnsi"/>
                <w:bCs/>
                <w:i/>
                <w:color w:val="222222"/>
                <w:sz w:val="24"/>
                <w:szCs w:val="24"/>
              </w:rPr>
              <w:t>Amm</w:t>
            </w:r>
            <w:r w:rsidR="00C47D1C" w:rsidRPr="00BC4A56">
              <w:rPr>
                <w:rFonts w:eastAsia="Times New Roman" w:cstheme="minorHAnsi"/>
                <w:bCs/>
                <w:i/>
                <w:color w:val="222222"/>
                <w:sz w:val="24"/>
                <w:szCs w:val="24"/>
              </w:rPr>
              <w:t>i</w:t>
            </w:r>
            <w:r w:rsidRPr="00BC4A56">
              <w:rPr>
                <w:rFonts w:eastAsia="Times New Roman" w:cstheme="minorHAnsi"/>
                <w:bCs/>
                <w:i/>
                <w:color w:val="222222"/>
                <w:sz w:val="24"/>
                <w:szCs w:val="24"/>
              </w:rPr>
              <w:t>ss</w:t>
            </w:r>
            <w:r w:rsidR="00C47D1C" w:rsidRPr="00BC4A56">
              <w:rPr>
                <w:rFonts w:eastAsia="Times New Roman" w:cstheme="minorHAnsi"/>
                <w:bCs/>
                <w:i/>
                <w:color w:val="222222"/>
                <w:sz w:val="24"/>
                <w:szCs w:val="24"/>
              </w:rPr>
              <w:t>ibili</w:t>
            </w:r>
            <w:r w:rsidRPr="00BC4A56">
              <w:rPr>
                <w:rFonts w:eastAsia="Times New Roman" w:cstheme="minorHAnsi"/>
                <w:bCs/>
                <w:i/>
                <w:color w:val="222222"/>
                <w:sz w:val="24"/>
                <w:szCs w:val="24"/>
              </w:rPr>
              <w:t xml:space="preserve"> alla valutazione di merito</w:t>
            </w:r>
            <w:r w:rsidR="000B5ECF" w:rsidRPr="00BC4A56">
              <w:rPr>
                <w:rFonts w:eastAsia="Times New Roman" w:cstheme="minorHAnsi"/>
                <w:bCs/>
                <w:i/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917" w:type="pct"/>
            <w:vAlign w:val="center"/>
          </w:tcPr>
          <w:p w:rsidR="00DD6992" w:rsidRPr="00BC4A56" w:rsidRDefault="00DD6992" w:rsidP="008C4CE8">
            <w:pPr>
              <w:jc w:val="right"/>
              <w:rPr>
                <w:rFonts w:eastAsia="Times New Roman" w:cstheme="minorHAnsi"/>
                <w:bCs/>
                <w:i/>
                <w:color w:val="222222"/>
                <w:sz w:val="24"/>
                <w:szCs w:val="24"/>
              </w:rPr>
            </w:pPr>
            <w:r w:rsidRPr="00BC4A56">
              <w:rPr>
                <w:rFonts w:eastAsia="Times New Roman" w:cstheme="minorHAnsi"/>
                <w:bCs/>
                <w:i/>
                <w:color w:val="222222"/>
                <w:sz w:val="24"/>
                <w:szCs w:val="24"/>
              </w:rPr>
              <w:t>24</w:t>
            </w:r>
          </w:p>
        </w:tc>
      </w:tr>
    </w:tbl>
    <w:p w:rsidR="00A1020B" w:rsidRPr="00BC4A56" w:rsidRDefault="00A1020B" w:rsidP="00D23CD2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sz w:val="24"/>
          <w:szCs w:val="24"/>
        </w:rPr>
      </w:pPr>
    </w:p>
    <w:p w:rsidR="00DD6992" w:rsidRPr="00BC4A56" w:rsidRDefault="00DD6992" w:rsidP="00DD6992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</w:rPr>
      </w:pPr>
      <w:r w:rsidRPr="00BC4A56">
        <w:rPr>
          <w:rFonts w:eastAsia="Times New Roman" w:cstheme="minorHAnsi"/>
          <w:b/>
          <w:bCs/>
          <w:color w:val="222222"/>
          <w:sz w:val="24"/>
          <w:szCs w:val="24"/>
        </w:rPr>
        <w:t>Istruttoria Valutazione di merito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8047"/>
        <w:gridCol w:w="1807"/>
      </w:tblGrid>
      <w:tr w:rsidR="00DD6992" w:rsidRPr="00BC4A56" w:rsidTr="008C4CE8">
        <w:tc>
          <w:tcPr>
            <w:tcW w:w="4083" w:type="pct"/>
          </w:tcPr>
          <w:p w:rsidR="00DD6992" w:rsidRPr="00BC4A56" w:rsidRDefault="00DD6992" w:rsidP="000B5ECF">
            <w:pPr>
              <w:rPr>
                <w:rFonts w:eastAsia="Times New Roman" w:cstheme="minorHAnsi"/>
                <w:bCs/>
                <w:color w:val="222222"/>
                <w:sz w:val="24"/>
                <w:szCs w:val="24"/>
              </w:rPr>
            </w:pPr>
            <w:r w:rsidRPr="00BC4A56">
              <w:rPr>
                <w:rFonts w:eastAsia="Times New Roman" w:cstheme="minorHAnsi"/>
                <w:bCs/>
                <w:color w:val="222222"/>
                <w:sz w:val="24"/>
                <w:szCs w:val="24"/>
              </w:rPr>
              <w:t>N. Istanze</w:t>
            </w:r>
            <w:r w:rsidR="000B5ECF" w:rsidRPr="00BC4A56">
              <w:rPr>
                <w:rFonts w:eastAsia="Times New Roman" w:cstheme="minorHAnsi"/>
                <w:bCs/>
                <w:color w:val="222222"/>
                <w:sz w:val="24"/>
                <w:szCs w:val="24"/>
              </w:rPr>
              <w:t xml:space="preserve"> </w:t>
            </w:r>
            <w:r w:rsidRPr="00BC4A56">
              <w:rPr>
                <w:rFonts w:eastAsia="Times New Roman" w:cstheme="minorHAnsi"/>
                <w:bCs/>
                <w:color w:val="222222"/>
                <w:sz w:val="24"/>
                <w:szCs w:val="24"/>
              </w:rPr>
              <w:t xml:space="preserve">istruite </w:t>
            </w:r>
            <w:r w:rsidR="000B5ECF" w:rsidRPr="00BC4A56">
              <w:rPr>
                <w:rFonts w:eastAsia="Times New Roman" w:cstheme="minorHAnsi"/>
                <w:bCs/>
                <w:color w:val="222222"/>
                <w:sz w:val="24"/>
                <w:szCs w:val="24"/>
              </w:rPr>
              <w:t>sul piano del merito</w:t>
            </w:r>
            <w:r w:rsidR="008C4CE8" w:rsidRPr="00BC4A56">
              <w:rPr>
                <w:rFonts w:eastAsia="Times New Roman" w:cstheme="minorHAnsi"/>
                <w:bCs/>
                <w:color w:val="222222"/>
                <w:sz w:val="24"/>
                <w:szCs w:val="24"/>
              </w:rPr>
              <w:t>, di cui</w:t>
            </w:r>
          </w:p>
        </w:tc>
        <w:tc>
          <w:tcPr>
            <w:tcW w:w="917" w:type="pct"/>
            <w:vAlign w:val="center"/>
          </w:tcPr>
          <w:p w:rsidR="00DD6992" w:rsidRPr="00BC4A56" w:rsidRDefault="00C47D1C" w:rsidP="008C4CE8">
            <w:pPr>
              <w:jc w:val="right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</w:rPr>
            </w:pPr>
            <w:r w:rsidRPr="00BC4A56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</w:rPr>
              <w:t>15</w:t>
            </w:r>
          </w:p>
        </w:tc>
      </w:tr>
      <w:tr w:rsidR="00DD6992" w:rsidRPr="00BC4A56" w:rsidTr="008C4CE8">
        <w:tc>
          <w:tcPr>
            <w:tcW w:w="4083" w:type="pct"/>
          </w:tcPr>
          <w:p w:rsidR="00DD6992" w:rsidRPr="00BC4A56" w:rsidRDefault="00DD6992" w:rsidP="005C010F">
            <w:pPr>
              <w:rPr>
                <w:rFonts w:eastAsia="Times New Roman" w:cstheme="minorHAnsi"/>
                <w:bCs/>
                <w:i/>
                <w:color w:val="222222"/>
                <w:sz w:val="24"/>
                <w:szCs w:val="24"/>
              </w:rPr>
            </w:pPr>
            <w:r w:rsidRPr="00BC4A56">
              <w:rPr>
                <w:rFonts w:eastAsia="Times New Roman" w:cstheme="minorHAnsi"/>
                <w:bCs/>
                <w:i/>
                <w:color w:val="222222"/>
                <w:sz w:val="24"/>
                <w:szCs w:val="24"/>
              </w:rPr>
              <w:t>hanno superato la valutazione di merito (ammesse al finanziamento)</w:t>
            </w:r>
          </w:p>
        </w:tc>
        <w:tc>
          <w:tcPr>
            <w:tcW w:w="917" w:type="pct"/>
            <w:vAlign w:val="center"/>
          </w:tcPr>
          <w:p w:rsidR="00DD6992" w:rsidRPr="00BC4A56" w:rsidRDefault="00DD6992" w:rsidP="008C4CE8">
            <w:pPr>
              <w:jc w:val="right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</w:rPr>
            </w:pPr>
            <w:r w:rsidRPr="00BC4A56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</w:rPr>
              <w:t>9</w:t>
            </w:r>
          </w:p>
        </w:tc>
      </w:tr>
      <w:tr w:rsidR="008C4CE8" w:rsidRPr="00BC4A56" w:rsidTr="008C4CE8">
        <w:tc>
          <w:tcPr>
            <w:tcW w:w="4083" w:type="pct"/>
          </w:tcPr>
          <w:p w:rsidR="008C4CE8" w:rsidRPr="00BC4A56" w:rsidRDefault="008C4CE8" w:rsidP="00BC4A56">
            <w:pPr>
              <w:rPr>
                <w:rFonts w:eastAsia="Times New Roman" w:cstheme="minorHAnsi"/>
                <w:bCs/>
                <w:i/>
                <w:color w:val="222222"/>
                <w:sz w:val="24"/>
                <w:szCs w:val="24"/>
              </w:rPr>
            </w:pPr>
            <w:r w:rsidRPr="00BC4A56">
              <w:rPr>
                <w:rFonts w:eastAsia="Times New Roman" w:cstheme="minorHAnsi"/>
                <w:bCs/>
                <w:i/>
                <w:color w:val="222222"/>
                <w:sz w:val="24"/>
                <w:szCs w:val="24"/>
                <w:u w:val="single"/>
              </w:rPr>
              <w:t>non</w:t>
            </w:r>
            <w:r w:rsidRPr="00BC4A56">
              <w:rPr>
                <w:rFonts w:eastAsia="Times New Roman" w:cstheme="minorHAnsi"/>
                <w:bCs/>
                <w:i/>
                <w:color w:val="222222"/>
                <w:sz w:val="24"/>
                <w:szCs w:val="24"/>
              </w:rPr>
              <w:t xml:space="preserve"> </w:t>
            </w:r>
            <w:r w:rsidR="00BC4A56">
              <w:rPr>
                <w:rFonts w:eastAsia="Times New Roman" w:cstheme="minorHAnsi"/>
                <w:bCs/>
                <w:i/>
                <w:color w:val="222222"/>
                <w:sz w:val="24"/>
                <w:szCs w:val="24"/>
              </w:rPr>
              <w:t xml:space="preserve">hanno </w:t>
            </w:r>
            <w:r w:rsidRPr="00BC4A56">
              <w:rPr>
                <w:rFonts w:eastAsia="Times New Roman" w:cstheme="minorHAnsi"/>
                <w:bCs/>
                <w:i/>
                <w:color w:val="222222"/>
                <w:sz w:val="24"/>
                <w:szCs w:val="24"/>
              </w:rPr>
              <w:t>superato la valutazione di merito (</w:t>
            </w:r>
            <w:r w:rsidR="00BC4A56">
              <w:rPr>
                <w:rFonts w:eastAsia="Times New Roman" w:cstheme="minorHAnsi"/>
                <w:bCs/>
                <w:i/>
                <w:color w:val="222222"/>
                <w:sz w:val="24"/>
                <w:szCs w:val="24"/>
              </w:rPr>
              <w:t>inammissibili</w:t>
            </w:r>
            <w:r w:rsidRPr="00BC4A56">
              <w:rPr>
                <w:rFonts w:eastAsia="Times New Roman" w:cstheme="minorHAnsi"/>
                <w:bCs/>
                <w:i/>
                <w:color w:val="222222"/>
                <w:sz w:val="24"/>
                <w:szCs w:val="24"/>
              </w:rPr>
              <w:t>)</w:t>
            </w:r>
          </w:p>
        </w:tc>
        <w:tc>
          <w:tcPr>
            <w:tcW w:w="917" w:type="pct"/>
            <w:vAlign w:val="center"/>
          </w:tcPr>
          <w:p w:rsidR="008C4CE8" w:rsidRPr="00BC4A56" w:rsidRDefault="008C4CE8" w:rsidP="008C4CE8">
            <w:pPr>
              <w:jc w:val="right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</w:rPr>
            </w:pPr>
            <w:r w:rsidRPr="00BC4A56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</w:rPr>
              <w:t>6</w:t>
            </w:r>
          </w:p>
        </w:tc>
      </w:tr>
    </w:tbl>
    <w:p w:rsidR="00DD6992" w:rsidRPr="00BC4A56" w:rsidRDefault="00DD6992" w:rsidP="00DD6992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</w:rPr>
      </w:pPr>
    </w:p>
    <w:p w:rsidR="00A1020B" w:rsidRPr="00BC4A56" w:rsidRDefault="00BC4A56" w:rsidP="00D23CD2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sz w:val="24"/>
          <w:szCs w:val="24"/>
        </w:rPr>
      </w:pPr>
      <w:r w:rsidRPr="00BC4A56">
        <w:rPr>
          <w:rFonts w:eastAsia="Times New Roman" w:cstheme="minorHAnsi"/>
          <w:bCs/>
          <w:color w:val="222222"/>
          <w:sz w:val="24"/>
          <w:szCs w:val="24"/>
        </w:rPr>
        <w:t>In relazione alle 9 istanze ammesse al finanziamento il contributo pubblico concesso è pari, complessivamente, a 464.777,87 euro.</w:t>
      </w:r>
    </w:p>
    <w:p w:rsidR="00A1020B" w:rsidRPr="00BC4A56" w:rsidRDefault="00A1020B" w:rsidP="00D23CD2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</w:rPr>
      </w:pPr>
    </w:p>
    <w:p w:rsidR="00B412EC" w:rsidRPr="00C56B6D" w:rsidRDefault="00B412EC" w:rsidP="00C56B6D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222222"/>
          <w:sz w:val="24"/>
          <w:szCs w:val="24"/>
        </w:rPr>
      </w:pPr>
      <w:r w:rsidRPr="00C56B6D">
        <w:rPr>
          <w:rFonts w:eastAsia="Times New Roman" w:cstheme="minorHAnsi"/>
          <w:bCs/>
          <w:color w:val="222222"/>
          <w:sz w:val="24"/>
          <w:szCs w:val="24"/>
        </w:rPr>
        <w:t>L’avviso è finalizzato all’introduzione di modelli organizzativi ispirati a una maggiore flessibilità lavorativa nel rispetto del work-life balance. L’avviso ha avuto una fortissima impennata a causa della pandemia da Covid-19</w:t>
      </w:r>
      <w:r w:rsidR="00FD20A8">
        <w:rPr>
          <w:rFonts w:eastAsia="Times New Roman" w:cstheme="minorHAnsi"/>
          <w:bCs/>
          <w:color w:val="222222"/>
          <w:sz w:val="24"/>
          <w:szCs w:val="24"/>
        </w:rPr>
        <w:t>,</w:t>
      </w:r>
      <w:r w:rsidRPr="00C56B6D">
        <w:rPr>
          <w:rFonts w:eastAsia="Times New Roman" w:cstheme="minorHAnsi"/>
          <w:bCs/>
          <w:color w:val="222222"/>
          <w:sz w:val="24"/>
          <w:szCs w:val="24"/>
        </w:rPr>
        <w:t xml:space="preserve"> di fronte alla qual</w:t>
      </w:r>
      <w:r w:rsidR="00CB0783">
        <w:rPr>
          <w:rFonts w:eastAsia="Times New Roman" w:cstheme="minorHAnsi"/>
          <w:bCs/>
          <w:color w:val="222222"/>
          <w:sz w:val="24"/>
          <w:szCs w:val="24"/>
        </w:rPr>
        <w:t xml:space="preserve">e molte imprese </w:t>
      </w:r>
      <w:r w:rsidR="00FD20A8">
        <w:rPr>
          <w:rFonts w:eastAsia="Times New Roman" w:cstheme="minorHAnsi"/>
          <w:bCs/>
          <w:color w:val="222222"/>
          <w:sz w:val="24"/>
          <w:szCs w:val="24"/>
        </w:rPr>
        <w:t>si sono trovate costrette a lavorare a distanza trasformando meramente i</w:t>
      </w:r>
      <w:r w:rsidR="00CB0783">
        <w:rPr>
          <w:rFonts w:eastAsia="Times New Roman" w:cstheme="minorHAnsi"/>
          <w:bCs/>
          <w:color w:val="222222"/>
          <w:sz w:val="24"/>
          <w:szCs w:val="24"/>
        </w:rPr>
        <w:t xml:space="preserve">l lavoro di ufficio in remote </w:t>
      </w:r>
      <w:proofErr w:type="spellStart"/>
      <w:r w:rsidR="00CB0783">
        <w:rPr>
          <w:rFonts w:eastAsia="Times New Roman" w:cstheme="minorHAnsi"/>
          <w:bCs/>
          <w:color w:val="222222"/>
          <w:sz w:val="24"/>
          <w:szCs w:val="24"/>
        </w:rPr>
        <w:t>working</w:t>
      </w:r>
      <w:proofErr w:type="spellEnd"/>
      <w:r w:rsidR="00CB0783">
        <w:rPr>
          <w:rFonts w:eastAsia="Times New Roman" w:cstheme="minorHAnsi"/>
          <w:bCs/>
          <w:color w:val="222222"/>
          <w:sz w:val="24"/>
          <w:szCs w:val="24"/>
        </w:rPr>
        <w:t xml:space="preserve"> </w:t>
      </w:r>
      <w:r w:rsidR="00FD20A8">
        <w:rPr>
          <w:rFonts w:eastAsia="Times New Roman" w:cstheme="minorHAnsi"/>
          <w:bCs/>
          <w:color w:val="222222"/>
          <w:sz w:val="24"/>
          <w:szCs w:val="24"/>
        </w:rPr>
        <w:t xml:space="preserve">e realizzando tutta la loro impreparazione all’introduzione della flessibilità organizzativa </w:t>
      </w:r>
      <w:r w:rsidR="0087734B">
        <w:rPr>
          <w:rFonts w:eastAsia="Times New Roman" w:cstheme="minorHAnsi"/>
          <w:bCs/>
          <w:color w:val="222222"/>
          <w:sz w:val="24"/>
          <w:szCs w:val="24"/>
        </w:rPr>
        <w:t>in un’ottica di conciliazione vita-lavoro</w:t>
      </w:r>
      <w:r w:rsidR="00FD20A8">
        <w:rPr>
          <w:rFonts w:eastAsia="Times New Roman" w:cstheme="minorHAnsi"/>
          <w:bCs/>
          <w:color w:val="222222"/>
          <w:sz w:val="24"/>
          <w:szCs w:val="24"/>
        </w:rPr>
        <w:t xml:space="preserve">. La linea di intervento 8.6.b ha quindi avuto il merito di offrire una opportunità unica </w:t>
      </w:r>
      <w:r w:rsidRPr="00C56B6D">
        <w:rPr>
          <w:rFonts w:eastAsia="Times New Roman" w:cstheme="minorHAnsi"/>
          <w:bCs/>
          <w:color w:val="222222"/>
          <w:sz w:val="24"/>
          <w:szCs w:val="24"/>
        </w:rPr>
        <w:t>di supporto al cambiamento organizzativo</w:t>
      </w:r>
      <w:r w:rsidR="00FD20A8">
        <w:rPr>
          <w:rFonts w:eastAsia="Times New Roman" w:cstheme="minorHAnsi"/>
          <w:bCs/>
          <w:color w:val="222222"/>
          <w:sz w:val="24"/>
          <w:szCs w:val="24"/>
        </w:rPr>
        <w:t xml:space="preserve"> più ampio e strutturato</w:t>
      </w:r>
      <w:r w:rsidRPr="00C56B6D">
        <w:rPr>
          <w:rFonts w:eastAsia="Times New Roman" w:cstheme="minorHAnsi"/>
          <w:bCs/>
          <w:color w:val="222222"/>
          <w:sz w:val="24"/>
          <w:szCs w:val="24"/>
        </w:rPr>
        <w:t xml:space="preserve">. </w:t>
      </w:r>
    </w:p>
    <w:p w:rsidR="00A1020B" w:rsidRPr="00C56B6D" w:rsidRDefault="00B412EC" w:rsidP="00C56B6D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222222"/>
          <w:sz w:val="24"/>
          <w:szCs w:val="24"/>
        </w:rPr>
      </w:pPr>
      <w:r w:rsidRPr="00C56B6D">
        <w:rPr>
          <w:rFonts w:eastAsia="Times New Roman" w:cstheme="minorHAnsi"/>
          <w:bCs/>
          <w:color w:val="222222"/>
          <w:sz w:val="24"/>
          <w:szCs w:val="24"/>
        </w:rPr>
        <w:t>Sono otto le misure</w:t>
      </w:r>
      <w:r w:rsidR="0087734B">
        <w:rPr>
          <w:rFonts w:eastAsia="Times New Roman" w:cstheme="minorHAnsi"/>
          <w:bCs/>
          <w:color w:val="222222"/>
          <w:sz w:val="24"/>
          <w:szCs w:val="24"/>
        </w:rPr>
        <w:t xml:space="preserve"> possibili</w:t>
      </w:r>
      <w:r w:rsidRPr="00C56B6D">
        <w:rPr>
          <w:rFonts w:eastAsia="Times New Roman" w:cstheme="minorHAnsi"/>
          <w:bCs/>
          <w:color w:val="222222"/>
          <w:sz w:val="24"/>
          <w:szCs w:val="24"/>
        </w:rPr>
        <w:t xml:space="preserve"> </w:t>
      </w:r>
      <w:r w:rsidR="0087734B">
        <w:rPr>
          <w:rFonts w:eastAsia="Times New Roman" w:cstheme="minorHAnsi"/>
          <w:bCs/>
          <w:color w:val="222222"/>
          <w:sz w:val="24"/>
          <w:szCs w:val="24"/>
        </w:rPr>
        <w:t xml:space="preserve">introdotte dall’avviso </w:t>
      </w:r>
      <w:r w:rsidRPr="00C56B6D">
        <w:rPr>
          <w:rFonts w:eastAsia="Times New Roman" w:cstheme="minorHAnsi"/>
          <w:bCs/>
          <w:color w:val="222222"/>
          <w:sz w:val="24"/>
          <w:szCs w:val="24"/>
        </w:rPr>
        <w:t xml:space="preserve">che spaziano dal più consolidato telelavoro allo </w:t>
      </w:r>
      <w:proofErr w:type="spellStart"/>
      <w:r w:rsidRPr="00C56B6D">
        <w:rPr>
          <w:rFonts w:eastAsia="Times New Roman" w:cstheme="minorHAnsi"/>
          <w:bCs/>
          <w:color w:val="222222"/>
          <w:sz w:val="24"/>
          <w:szCs w:val="24"/>
        </w:rPr>
        <w:t>smart</w:t>
      </w:r>
      <w:proofErr w:type="spellEnd"/>
      <w:r w:rsidRPr="00C56B6D">
        <w:rPr>
          <w:rFonts w:eastAsia="Times New Roman" w:cstheme="minorHAnsi"/>
          <w:bCs/>
          <w:color w:val="222222"/>
          <w:sz w:val="24"/>
          <w:szCs w:val="24"/>
        </w:rPr>
        <w:t xml:space="preserve"> </w:t>
      </w:r>
      <w:proofErr w:type="spellStart"/>
      <w:r w:rsidRPr="00C56B6D">
        <w:rPr>
          <w:rFonts w:eastAsia="Times New Roman" w:cstheme="minorHAnsi"/>
          <w:bCs/>
          <w:color w:val="222222"/>
          <w:sz w:val="24"/>
          <w:szCs w:val="24"/>
        </w:rPr>
        <w:t>working</w:t>
      </w:r>
      <w:proofErr w:type="spellEnd"/>
      <w:r w:rsidRPr="00C56B6D">
        <w:rPr>
          <w:rFonts w:eastAsia="Times New Roman" w:cstheme="minorHAnsi"/>
          <w:bCs/>
          <w:color w:val="222222"/>
          <w:sz w:val="24"/>
          <w:szCs w:val="24"/>
        </w:rPr>
        <w:t>, alla banca delle ore</w:t>
      </w:r>
      <w:r w:rsidR="00C56B6D" w:rsidRPr="00C56B6D">
        <w:rPr>
          <w:rFonts w:eastAsia="Times New Roman" w:cstheme="minorHAnsi"/>
          <w:bCs/>
          <w:color w:val="222222"/>
          <w:sz w:val="24"/>
          <w:szCs w:val="24"/>
        </w:rPr>
        <w:t>,</w:t>
      </w:r>
      <w:r w:rsidRPr="00C56B6D">
        <w:rPr>
          <w:rFonts w:eastAsia="Times New Roman" w:cstheme="minorHAnsi"/>
          <w:bCs/>
          <w:color w:val="222222"/>
          <w:sz w:val="24"/>
          <w:szCs w:val="24"/>
        </w:rPr>
        <w:t xml:space="preserve"> alla flessibilità in entrata, in uscita, durante la pausa pranzo</w:t>
      </w:r>
      <w:r w:rsidR="00C56B6D" w:rsidRPr="00C56B6D">
        <w:rPr>
          <w:rFonts w:eastAsia="Times New Roman" w:cstheme="minorHAnsi"/>
          <w:bCs/>
          <w:color w:val="222222"/>
          <w:sz w:val="24"/>
          <w:szCs w:val="24"/>
        </w:rPr>
        <w:t>,</w:t>
      </w:r>
      <w:r w:rsidR="00C56B6D">
        <w:rPr>
          <w:rFonts w:eastAsia="Times New Roman" w:cstheme="minorHAnsi"/>
          <w:bCs/>
          <w:color w:val="222222"/>
          <w:sz w:val="24"/>
          <w:szCs w:val="24"/>
        </w:rPr>
        <w:t xml:space="preserve"> agli</w:t>
      </w:r>
      <w:r w:rsidR="00C56B6D" w:rsidRPr="00C56B6D">
        <w:rPr>
          <w:rFonts w:eastAsia="Times New Roman" w:cstheme="minorHAnsi"/>
          <w:bCs/>
          <w:color w:val="222222"/>
          <w:sz w:val="24"/>
          <w:szCs w:val="24"/>
        </w:rPr>
        <w:t xml:space="preserve"> orari a menu e </w:t>
      </w:r>
      <w:r w:rsidR="00C56B6D">
        <w:rPr>
          <w:rFonts w:eastAsia="Times New Roman" w:cstheme="minorHAnsi"/>
          <w:bCs/>
          <w:color w:val="222222"/>
          <w:sz w:val="24"/>
          <w:szCs w:val="24"/>
        </w:rPr>
        <w:t xml:space="preserve">alle </w:t>
      </w:r>
      <w:r w:rsidR="00C56B6D" w:rsidRPr="00C56B6D">
        <w:rPr>
          <w:rFonts w:eastAsia="Times New Roman" w:cstheme="minorHAnsi"/>
          <w:bCs/>
          <w:color w:val="222222"/>
          <w:sz w:val="24"/>
          <w:szCs w:val="24"/>
        </w:rPr>
        <w:t>isole di lavoro</w:t>
      </w:r>
      <w:r w:rsidRPr="00C56B6D">
        <w:rPr>
          <w:rFonts w:eastAsia="Times New Roman" w:cstheme="minorHAnsi"/>
          <w:bCs/>
          <w:color w:val="222222"/>
          <w:sz w:val="24"/>
          <w:szCs w:val="24"/>
        </w:rPr>
        <w:t xml:space="preserve">.  </w:t>
      </w:r>
    </w:p>
    <w:p w:rsidR="00A1020B" w:rsidRDefault="0087734B" w:rsidP="00D23CD2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sz w:val="24"/>
          <w:szCs w:val="24"/>
        </w:rPr>
      </w:pPr>
      <w:r w:rsidRPr="0087734B">
        <w:rPr>
          <w:rFonts w:eastAsia="Times New Roman" w:cstheme="minorHAnsi"/>
          <w:bCs/>
          <w:color w:val="222222"/>
          <w:sz w:val="24"/>
          <w:szCs w:val="24"/>
        </w:rPr>
        <w:t xml:space="preserve">I dati sulle prime imprese ammesse a contributo mostrano un salto qualitativo verso la maggiore flessibilità: tutte infatti passano da qualche misura adottata in forma più o meno sperimentale alla predisposizione di un piano articolato e aderente all’analisi dei bisogni effettuata in fase di presentazione progettuale.  </w:t>
      </w:r>
    </w:p>
    <w:p w:rsidR="0087734B" w:rsidRPr="0087734B" w:rsidRDefault="0087734B" w:rsidP="00D23CD2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sz w:val="24"/>
          <w:szCs w:val="24"/>
        </w:rPr>
      </w:pPr>
      <w:r>
        <w:rPr>
          <w:rFonts w:eastAsia="Times New Roman" w:cstheme="minorHAnsi"/>
          <w:bCs/>
          <w:color w:val="222222"/>
          <w:sz w:val="24"/>
          <w:szCs w:val="24"/>
        </w:rPr>
        <w:t xml:space="preserve">Certamente il monitoraggio costante </w:t>
      </w:r>
      <w:r w:rsidR="00FD20A8">
        <w:rPr>
          <w:rFonts w:eastAsia="Times New Roman" w:cstheme="minorHAnsi"/>
          <w:bCs/>
          <w:color w:val="222222"/>
          <w:sz w:val="24"/>
          <w:szCs w:val="24"/>
        </w:rPr>
        <w:t>sull’avanzamento dell’</w:t>
      </w:r>
      <w:r>
        <w:rPr>
          <w:rFonts w:eastAsia="Times New Roman" w:cstheme="minorHAnsi"/>
          <w:bCs/>
          <w:color w:val="222222"/>
          <w:sz w:val="24"/>
          <w:szCs w:val="24"/>
        </w:rPr>
        <w:t>azione fornir</w:t>
      </w:r>
      <w:r w:rsidR="00FD20A8">
        <w:rPr>
          <w:rFonts w:eastAsia="Times New Roman" w:cstheme="minorHAnsi"/>
          <w:bCs/>
          <w:color w:val="222222"/>
          <w:sz w:val="24"/>
          <w:szCs w:val="24"/>
        </w:rPr>
        <w:t>à</w:t>
      </w:r>
      <w:r>
        <w:rPr>
          <w:rFonts w:eastAsia="Times New Roman" w:cstheme="minorHAnsi"/>
          <w:bCs/>
          <w:color w:val="222222"/>
          <w:sz w:val="24"/>
          <w:szCs w:val="24"/>
        </w:rPr>
        <w:t xml:space="preserve"> utili dati</w:t>
      </w:r>
      <w:r w:rsidR="00FD20A8">
        <w:rPr>
          <w:rFonts w:eastAsia="Times New Roman" w:cstheme="minorHAnsi"/>
          <w:bCs/>
          <w:color w:val="222222"/>
          <w:sz w:val="24"/>
          <w:szCs w:val="24"/>
        </w:rPr>
        <w:t xml:space="preserve"> per tratteggiare il cambiamento all’interno delle PMI. </w:t>
      </w:r>
      <w:bookmarkStart w:id="0" w:name="_GoBack"/>
      <w:bookmarkEnd w:id="0"/>
      <w:r>
        <w:rPr>
          <w:rFonts w:eastAsia="Times New Roman" w:cstheme="minorHAnsi"/>
          <w:bCs/>
          <w:color w:val="222222"/>
          <w:sz w:val="24"/>
          <w:szCs w:val="24"/>
        </w:rPr>
        <w:t xml:space="preserve"> </w:t>
      </w:r>
    </w:p>
    <w:p w:rsidR="00A1020B" w:rsidRPr="0087734B" w:rsidRDefault="00A1020B" w:rsidP="00D23CD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:rsidR="00403B06" w:rsidRPr="00BC4A56" w:rsidRDefault="00403B06">
      <w:pPr>
        <w:rPr>
          <w:rFonts w:cstheme="minorHAnsi"/>
        </w:rPr>
      </w:pPr>
    </w:p>
    <w:sectPr w:rsidR="00403B06" w:rsidRPr="00BC4A56" w:rsidSect="00403B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CD2"/>
    <w:rsid w:val="000B5ECF"/>
    <w:rsid w:val="00403B06"/>
    <w:rsid w:val="005E5FFD"/>
    <w:rsid w:val="0087734B"/>
    <w:rsid w:val="008C4CE8"/>
    <w:rsid w:val="00A1020B"/>
    <w:rsid w:val="00B412EC"/>
    <w:rsid w:val="00BC4A56"/>
    <w:rsid w:val="00C47D1C"/>
    <w:rsid w:val="00C56B6D"/>
    <w:rsid w:val="00CB0783"/>
    <w:rsid w:val="00D23CD2"/>
    <w:rsid w:val="00DA62E8"/>
    <w:rsid w:val="00DD6992"/>
    <w:rsid w:val="00EB622F"/>
    <w:rsid w:val="00F6739D"/>
    <w:rsid w:val="00FD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10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10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5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2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Corti Tiziana</cp:lastModifiedBy>
  <cp:revision>5</cp:revision>
  <cp:lastPrinted>2020-07-07T07:57:00Z</cp:lastPrinted>
  <dcterms:created xsi:type="dcterms:W3CDTF">2020-07-07T07:26:00Z</dcterms:created>
  <dcterms:modified xsi:type="dcterms:W3CDTF">2020-07-07T08:11:00Z</dcterms:modified>
</cp:coreProperties>
</file>