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F2" w:rsidRPr="00541CCC" w:rsidRDefault="0017119C" w:rsidP="001F5934">
      <w:pPr>
        <w:rPr>
          <w:b/>
        </w:rPr>
      </w:pPr>
      <w:r w:rsidRPr="00541CCC">
        <w:rPr>
          <w:b/>
        </w:rPr>
        <w:t xml:space="preserve">Oggetto: </w:t>
      </w:r>
      <w:bookmarkStart w:id="0" w:name="_GoBack"/>
      <w:r w:rsidR="00ED46D9" w:rsidRPr="00541CCC">
        <w:rPr>
          <w:b/>
        </w:rPr>
        <w:t xml:space="preserve">sintetica relazione sulle principali attività svolte </w:t>
      </w:r>
      <w:r w:rsidR="00692B26" w:rsidRPr="00541CCC">
        <w:rPr>
          <w:b/>
        </w:rPr>
        <w:t>dalla S</w:t>
      </w:r>
      <w:r w:rsidR="001F5934" w:rsidRPr="00541CCC">
        <w:rPr>
          <w:b/>
        </w:rPr>
        <w:t xml:space="preserve">ezione in materia di </w:t>
      </w:r>
      <w:r w:rsidRPr="00541CCC">
        <w:rPr>
          <w:b/>
        </w:rPr>
        <w:t>Sport</w:t>
      </w:r>
      <w:r w:rsidR="00B540D2" w:rsidRPr="00541CCC">
        <w:rPr>
          <w:b/>
        </w:rPr>
        <w:t xml:space="preserve"> </w:t>
      </w:r>
      <w:r w:rsidR="001F5934" w:rsidRPr="00541CCC">
        <w:rPr>
          <w:b/>
        </w:rPr>
        <w:t>–</w:t>
      </w:r>
      <w:r w:rsidR="00B540D2" w:rsidRPr="00541CCC">
        <w:rPr>
          <w:b/>
        </w:rPr>
        <w:t xml:space="preserve"> </w:t>
      </w:r>
      <w:r w:rsidRPr="00541CCC">
        <w:rPr>
          <w:b/>
        </w:rPr>
        <w:t>Ann</w:t>
      </w:r>
      <w:r w:rsidR="001F5934" w:rsidRPr="00541CCC">
        <w:rPr>
          <w:b/>
        </w:rPr>
        <w:t>i 2015/2020</w:t>
      </w:r>
      <w:bookmarkEnd w:id="0"/>
    </w:p>
    <w:p w:rsidR="001F5934" w:rsidRPr="00541CCC" w:rsidRDefault="001F5934" w:rsidP="00B540D2">
      <w:pPr>
        <w:jc w:val="both"/>
        <w:rPr>
          <w:b/>
        </w:rPr>
      </w:pPr>
    </w:p>
    <w:p w:rsidR="001F5934" w:rsidRDefault="001F5934" w:rsidP="00B540D2">
      <w:pPr>
        <w:jc w:val="both"/>
      </w:pPr>
      <w:r>
        <w:t>La Sezione competente in materia di Sport n</w:t>
      </w:r>
      <w:r w:rsidR="00A635BB">
        <w:t>e</w:t>
      </w:r>
      <w:r>
        <w:t xml:space="preserve">gli anni 2015/2020 </w:t>
      </w:r>
      <w:r w:rsidR="00A635BB" w:rsidRPr="00114B95">
        <w:t xml:space="preserve">ha </w:t>
      </w:r>
      <w:r>
        <w:t>fortemente am</w:t>
      </w:r>
      <w:r w:rsidR="00A635BB" w:rsidRPr="00114B95">
        <w:t>p</w:t>
      </w:r>
      <w:r>
        <w:t xml:space="preserve">lificato </w:t>
      </w:r>
      <w:r w:rsidR="00A635BB" w:rsidRPr="00114B95">
        <w:t xml:space="preserve">l’attività pianificata con </w:t>
      </w:r>
      <w:r>
        <w:t>le precedenti programmazioni r</w:t>
      </w:r>
      <w:r w:rsidR="00A635BB" w:rsidRPr="00114B95">
        <w:t>egional</w:t>
      </w:r>
      <w:r w:rsidR="008A3101">
        <w:t>i ai sensi della L.R. n. 33/2006 e s.m.i.</w:t>
      </w:r>
      <w:r w:rsidR="009D0745">
        <w:t xml:space="preserve"> </w:t>
      </w:r>
      <w:r w:rsidR="005820AB">
        <w:t xml:space="preserve"> </w:t>
      </w:r>
      <w:r w:rsidR="008A3101">
        <w:t xml:space="preserve">diversificandola dal passato in quanto non </w:t>
      </w:r>
      <w:r w:rsidR="009D0745">
        <w:t>più limitata</w:t>
      </w:r>
      <w:r w:rsidR="008A3101">
        <w:t xml:space="preserve"> ad una programmazione calata dall’alto ma frutto delle reali esigenze del territorio pugliese.</w:t>
      </w:r>
    </w:p>
    <w:p w:rsidR="008A3101" w:rsidRDefault="008A3101" w:rsidP="008A3101">
      <w:pPr>
        <w:jc w:val="both"/>
      </w:pPr>
      <w:r>
        <w:t xml:space="preserve">Tutte le attività realizzate sono frutto di una forte integrazione tra </w:t>
      </w:r>
      <w:r w:rsidR="005820AB">
        <w:t xml:space="preserve">le </w:t>
      </w:r>
      <w:r>
        <w:t>diverse aree di policy sociale, sanitaria, educativa ed economica</w:t>
      </w:r>
      <w:r w:rsidR="005820AB">
        <w:t xml:space="preserve"> al fine di </w:t>
      </w:r>
      <w:r>
        <w:t>perseguire un macro-obiettivo di ampia portata: diffondere la cultura dello sport e delle attività fisico-motorie per migliorare la qualità della vita aumentando la “quantità di benessere” di chi vive il nostro territorio, con un’attenzione peculiare alle fasce più fragili di popolazione</w:t>
      </w:r>
      <w:r w:rsidR="005820AB">
        <w:t>.</w:t>
      </w:r>
    </w:p>
    <w:p w:rsidR="00541CCC" w:rsidRDefault="00541CCC" w:rsidP="00B540D2">
      <w:pPr>
        <w:jc w:val="both"/>
      </w:pPr>
      <w:r>
        <w:t>Annualmente sono state approvate le</w:t>
      </w:r>
      <w:r w:rsidR="001F5934" w:rsidRPr="00F21BB4">
        <w:t xml:space="preserve"> </w:t>
      </w:r>
      <w:r w:rsidR="00A635BB" w:rsidRPr="00F21BB4">
        <w:t>“Linee Guida per lo Sport</w:t>
      </w:r>
      <w:r w:rsidR="001F5934" w:rsidRPr="00F21BB4">
        <w:t>”</w:t>
      </w:r>
      <w:r>
        <w:t xml:space="preserve"> ed attuati i singoli “Programmi Operativi annuali”</w:t>
      </w:r>
      <w:r w:rsidR="0071224F" w:rsidRPr="00F21BB4">
        <w:t>,</w:t>
      </w:r>
      <w:r>
        <w:t xml:space="preserve"> nel pieno rispetto della L.R. n. 33/2006 e s.m.i., cercando</w:t>
      </w:r>
      <w:r w:rsidR="001F5934" w:rsidRPr="00F21BB4">
        <w:t xml:space="preserve"> di aumentare gradualmente la tipologia ed il numero degli interventi incidendo su un territorio</w:t>
      </w:r>
      <w:r w:rsidR="001F5934">
        <w:t xml:space="preserve"> sempre più vasto</w:t>
      </w:r>
      <w:r w:rsidR="00F21BB4">
        <w:t>.</w:t>
      </w:r>
    </w:p>
    <w:p w:rsidR="0071224F" w:rsidRDefault="00F21BB4" w:rsidP="00B540D2">
      <w:pPr>
        <w:jc w:val="both"/>
      </w:pPr>
      <w:r>
        <w:t>Le Linee Guida</w:t>
      </w:r>
      <w:r w:rsidR="006837CA">
        <w:t xml:space="preserve"> 2019-2021, considerati i positivi riscontri registrati  nel precedente triennio, hanno ancor più potenziato gli interventi portando lo sport e tutta l’attività fisico motoria  tra le attività con maggior lustro per la Regione Puglia</w:t>
      </w:r>
      <w:r w:rsidR="00541CCC">
        <w:t xml:space="preserve"> .</w:t>
      </w:r>
    </w:p>
    <w:p w:rsidR="005820AB" w:rsidRPr="005820AB" w:rsidRDefault="00BD2054" w:rsidP="00541CCC">
      <w:pPr>
        <w:jc w:val="both"/>
      </w:pPr>
      <w:r>
        <w:t>O</w:t>
      </w:r>
      <w:r w:rsidR="008A3101">
        <w:t>biettivo finale</w:t>
      </w:r>
      <w:r>
        <w:t xml:space="preserve"> è stato</w:t>
      </w:r>
      <w:r w:rsidR="008A3101">
        <w:t xml:space="preserve"> </w:t>
      </w:r>
      <w:r w:rsidR="008A3101" w:rsidRPr="005820AB">
        <w:rPr>
          <w:i/>
        </w:rPr>
        <w:t>garantire una migliore qualità della vita dei cittadini.</w:t>
      </w:r>
      <w:r w:rsidR="005820AB">
        <w:rPr>
          <w:i/>
        </w:rPr>
        <w:t xml:space="preserve"> </w:t>
      </w:r>
    </w:p>
    <w:p w:rsidR="0071224F" w:rsidRDefault="0071224F" w:rsidP="00B540D2">
      <w:pPr>
        <w:jc w:val="both"/>
      </w:pPr>
      <w:r>
        <w:t xml:space="preserve">Si riportano di seguito le </w:t>
      </w:r>
      <w:r w:rsidRPr="0071224F">
        <w:t>principali attività svolte dal</w:t>
      </w:r>
      <w:r w:rsidR="001F5934">
        <w:t>la Sezione nel quinquennio 2015/2020</w:t>
      </w:r>
      <w:r w:rsidR="00E67018">
        <w:t xml:space="preserve"> investendo complessivamente  €</w:t>
      </w:r>
      <w:r w:rsidR="000F711D">
        <w:t xml:space="preserve"> </w:t>
      </w:r>
      <w:r w:rsidR="000F711D" w:rsidRPr="00541CCC">
        <w:rPr>
          <w:u w:val="single"/>
        </w:rPr>
        <w:t>4</w:t>
      </w:r>
      <w:r w:rsidR="00A07B72" w:rsidRPr="00541CCC">
        <w:rPr>
          <w:u w:val="single"/>
        </w:rPr>
        <w:t>9</w:t>
      </w:r>
      <w:r w:rsidR="000F711D" w:rsidRPr="00541CCC">
        <w:rPr>
          <w:u w:val="single"/>
        </w:rPr>
        <w:t>.</w:t>
      </w:r>
      <w:r w:rsidR="00A07B72" w:rsidRPr="00541CCC">
        <w:rPr>
          <w:u w:val="single"/>
        </w:rPr>
        <w:t>488.749,75</w:t>
      </w:r>
      <w:r w:rsidR="00E67018">
        <w:t xml:space="preserve"> </w:t>
      </w:r>
      <w:r w:rsidR="00A07B72">
        <w:t xml:space="preserve">per gli Avvisi Pubblici </w:t>
      </w:r>
      <w:r w:rsidR="00E67018">
        <w:t>e precisamente :</w:t>
      </w:r>
    </w:p>
    <w:p w:rsidR="00D402E9" w:rsidRDefault="00A07B72" w:rsidP="00B540D2">
      <w:pPr>
        <w:jc w:val="both"/>
      </w:pPr>
      <w:r w:rsidRPr="00A07B72">
        <w:rPr>
          <w:noProof/>
          <w:lang w:eastAsia="it-IT"/>
        </w:rPr>
        <w:drawing>
          <wp:inline distT="0" distB="0" distL="0" distR="0" wp14:anchorId="2AC47C50" wp14:editId="4EE1C90D">
            <wp:extent cx="6113177" cy="833932"/>
            <wp:effectExtent l="0" t="0" r="1905"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34880"/>
                    </a:xfrm>
                    <a:prstGeom prst="rect">
                      <a:avLst/>
                    </a:prstGeom>
                    <a:noFill/>
                    <a:ln>
                      <a:noFill/>
                    </a:ln>
                  </pic:spPr>
                </pic:pic>
              </a:graphicData>
            </a:graphic>
          </wp:inline>
        </w:drawing>
      </w:r>
    </w:p>
    <w:p w:rsidR="00BD2054" w:rsidRDefault="00BD2054" w:rsidP="00A2451A">
      <w:pPr>
        <w:jc w:val="both"/>
        <w:rPr>
          <w:rFonts w:ascii="Calibri" w:eastAsia="Calibri" w:hAnsi="Calibri" w:cs="Times New Roman"/>
          <w:lang w:eastAsia="it-IT"/>
        </w:rPr>
      </w:pPr>
      <w:r w:rsidRPr="00BD2054">
        <w:rPr>
          <w:noProof/>
          <w:lang w:eastAsia="it-IT"/>
        </w:rPr>
        <w:drawing>
          <wp:inline distT="0" distB="0" distL="0" distR="0" wp14:anchorId="6FFAF795" wp14:editId="09F901C6">
            <wp:extent cx="6120130" cy="1434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434000"/>
                    </a:xfrm>
                    <a:prstGeom prst="rect">
                      <a:avLst/>
                    </a:prstGeom>
                    <a:noFill/>
                    <a:ln>
                      <a:noFill/>
                    </a:ln>
                  </pic:spPr>
                </pic:pic>
              </a:graphicData>
            </a:graphic>
          </wp:inline>
        </w:drawing>
      </w:r>
    </w:p>
    <w:p w:rsidR="00BD2054" w:rsidRDefault="00BD2054" w:rsidP="00A2451A">
      <w:pPr>
        <w:jc w:val="both"/>
        <w:rPr>
          <w:rFonts w:ascii="Calibri" w:eastAsia="Calibri" w:hAnsi="Calibri" w:cs="Times New Roman"/>
          <w:lang w:eastAsia="it-IT"/>
        </w:rPr>
      </w:pPr>
      <w:r w:rsidRPr="00BD2054">
        <w:rPr>
          <w:noProof/>
          <w:lang w:eastAsia="it-IT"/>
        </w:rPr>
        <w:drawing>
          <wp:inline distT="0" distB="0" distL="0" distR="0" wp14:anchorId="7A671ABC" wp14:editId="6079A58A">
            <wp:extent cx="6122822" cy="892454"/>
            <wp:effectExtent l="0" t="0" r="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892062"/>
                    </a:xfrm>
                    <a:prstGeom prst="rect">
                      <a:avLst/>
                    </a:prstGeom>
                    <a:noFill/>
                    <a:ln>
                      <a:noFill/>
                    </a:ln>
                  </pic:spPr>
                </pic:pic>
              </a:graphicData>
            </a:graphic>
          </wp:inline>
        </w:drawing>
      </w:r>
    </w:p>
    <w:p w:rsidR="008D381D" w:rsidRDefault="008D381D" w:rsidP="00A2451A">
      <w:pPr>
        <w:jc w:val="both"/>
        <w:rPr>
          <w:rFonts w:ascii="Calibri" w:eastAsia="Calibri" w:hAnsi="Calibri" w:cs="Times New Roman"/>
          <w:lang w:eastAsia="it-IT"/>
        </w:rPr>
      </w:pPr>
    </w:p>
    <w:p w:rsidR="008D381D" w:rsidRDefault="008D381D" w:rsidP="008D381D">
      <w:pPr>
        <w:jc w:val="center"/>
        <w:rPr>
          <w:rFonts w:ascii="Calibri" w:eastAsia="Calibri" w:hAnsi="Calibri" w:cs="Times New Roman"/>
          <w:lang w:eastAsia="it-IT"/>
        </w:rPr>
      </w:pPr>
      <w:r w:rsidRPr="008D381D">
        <w:rPr>
          <w:noProof/>
          <w:lang w:eastAsia="it-IT"/>
        </w:rPr>
        <w:lastRenderedPageBreak/>
        <w:drawing>
          <wp:inline distT="0" distB="0" distL="0" distR="0" wp14:anchorId="655F0B1F" wp14:editId="0A3A9EC6">
            <wp:extent cx="2601635" cy="3101644"/>
            <wp:effectExtent l="0" t="0" r="8255"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971" cy="3104429"/>
                    </a:xfrm>
                    <a:prstGeom prst="rect">
                      <a:avLst/>
                    </a:prstGeom>
                    <a:noFill/>
                    <a:ln>
                      <a:noFill/>
                    </a:ln>
                  </pic:spPr>
                </pic:pic>
              </a:graphicData>
            </a:graphic>
          </wp:inline>
        </w:drawing>
      </w:r>
    </w:p>
    <w:p w:rsidR="008D381D" w:rsidRDefault="008D381D" w:rsidP="00A2451A">
      <w:pPr>
        <w:jc w:val="both"/>
        <w:rPr>
          <w:rFonts w:ascii="Calibri" w:eastAsia="Calibri" w:hAnsi="Calibri" w:cs="Times New Roman"/>
          <w:lang w:eastAsia="it-IT"/>
        </w:rPr>
      </w:pPr>
    </w:p>
    <w:p w:rsidR="008D381D" w:rsidRDefault="008D381D" w:rsidP="00A2451A">
      <w:pPr>
        <w:jc w:val="both"/>
        <w:rPr>
          <w:rFonts w:ascii="Calibri" w:eastAsia="Calibri" w:hAnsi="Calibri" w:cs="Times New Roman"/>
          <w:lang w:eastAsia="it-IT"/>
        </w:rPr>
      </w:pPr>
    </w:p>
    <w:p w:rsidR="00A2451A" w:rsidRDefault="008D381D" w:rsidP="00A2451A">
      <w:pPr>
        <w:jc w:val="both"/>
        <w:rPr>
          <w:rFonts w:ascii="Calibri" w:eastAsia="Calibri" w:hAnsi="Calibri" w:cs="Times New Roman"/>
          <w:lang w:eastAsia="it-IT"/>
        </w:rPr>
      </w:pPr>
      <w:r w:rsidRPr="00A2451A">
        <w:rPr>
          <w:rFonts w:ascii="Calibri" w:eastAsia="Calibri" w:hAnsi="Calibri" w:cs="Times New Roman"/>
          <w:lang w:eastAsia="it-IT"/>
        </w:rPr>
        <w:t xml:space="preserve">domande provenienti </w:t>
      </w:r>
      <w:r w:rsidRPr="00A2451A">
        <w:rPr>
          <w:rFonts w:ascii="Calibri" w:eastAsia="Calibri" w:hAnsi="Calibri" w:cs="Times New Roman"/>
          <w:u w:val="single"/>
          <w:lang w:eastAsia="it-IT"/>
        </w:rPr>
        <w:t xml:space="preserve">da </w:t>
      </w:r>
      <w:r w:rsidR="00541CCC" w:rsidRPr="00541CCC">
        <w:rPr>
          <w:rFonts w:ascii="Calibri" w:eastAsia="Calibri" w:hAnsi="Calibri" w:cs="Times New Roman"/>
          <w:u w:val="single"/>
          <w:lang w:eastAsia="it-IT"/>
        </w:rPr>
        <w:t>n. 2.381</w:t>
      </w:r>
      <w:r w:rsidR="00541CCC">
        <w:rPr>
          <w:rFonts w:ascii="Calibri" w:eastAsia="Calibri" w:hAnsi="Calibri" w:cs="Times New Roman"/>
          <w:lang w:eastAsia="it-IT"/>
        </w:rPr>
        <w:t xml:space="preserve"> </w:t>
      </w:r>
      <w:r w:rsidRPr="00A2451A">
        <w:rPr>
          <w:rFonts w:ascii="Calibri" w:eastAsia="Calibri" w:hAnsi="Calibri" w:cs="Times New Roman"/>
          <w:lang w:eastAsia="it-IT"/>
        </w:rPr>
        <w:t>Enti Pubblici, Associazioni di Promozione Sociale e Organizzazioni di Volontariato,</w:t>
      </w:r>
      <w:r>
        <w:rPr>
          <w:rFonts w:ascii="Calibri" w:eastAsia="Calibri" w:hAnsi="Calibri" w:cs="Times New Roman"/>
          <w:lang w:eastAsia="it-IT"/>
        </w:rPr>
        <w:t xml:space="preserve"> </w:t>
      </w:r>
      <w:r w:rsidR="00A2451A" w:rsidRPr="00A2451A">
        <w:rPr>
          <w:rFonts w:ascii="Calibri" w:eastAsia="Calibri" w:hAnsi="Calibri" w:cs="Times New Roman"/>
          <w:lang w:eastAsia="it-IT"/>
        </w:rPr>
        <w:t>Associazioni e Società Sportive Dilettantistiche, Parrocchie, Federazioni Sportive e Soggetti Privati.</w:t>
      </w:r>
    </w:p>
    <w:p w:rsidR="008A1997" w:rsidRDefault="008A1997" w:rsidP="008A1997">
      <w:pPr>
        <w:jc w:val="both"/>
      </w:pPr>
      <w:r>
        <w:t xml:space="preserve">Il numero dei beneficiari dei contributi è aumentato negli anni grazie all’aumento degli stanziamenti in bilancio </w:t>
      </w:r>
    </w:p>
    <w:p w:rsidR="008A1997" w:rsidRDefault="008A1997" w:rsidP="00A2451A">
      <w:pPr>
        <w:jc w:val="both"/>
        <w:rPr>
          <w:rFonts w:ascii="Calibri" w:eastAsia="Calibri" w:hAnsi="Calibri" w:cs="Times New Roman"/>
          <w:lang w:eastAsia="it-IT"/>
        </w:rPr>
      </w:pPr>
      <w:r>
        <w:rPr>
          <w:rFonts w:ascii="Calibri" w:eastAsia="Calibri" w:hAnsi="Calibri" w:cs="Times New Roman"/>
          <w:noProof/>
          <w:lang w:eastAsia="it-IT"/>
        </w:rPr>
        <w:drawing>
          <wp:inline distT="0" distB="0" distL="0" distR="0" wp14:anchorId="1B4A1A54">
            <wp:extent cx="2810510" cy="1579245"/>
            <wp:effectExtent l="0" t="0" r="8890" b="190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0510" cy="1579245"/>
                    </a:xfrm>
                    <a:prstGeom prst="rect">
                      <a:avLst/>
                    </a:prstGeom>
                    <a:noFill/>
                  </pic:spPr>
                </pic:pic>
              </a:graphicData>
            </a:graphic>
          </wp:inline>
        </w:drawing>
      </w:r>
    </w:p>
    <w:p w:rsidR="009D0745" w:rsidRDefault="009D0745" w:rsidP="00A2451A">
      <w:pPr>
        <w:jc w:val="both"/>
        <w:rPr>
          <w:rFonts w:ascii="Calibri" w:eastAsia="Calibri" w:hAnsi="Calibri" w:cs="Times New Roman"/>
          <w:lang w:eastAsia="it-IT"/>
        </w:rPr>
      </w:pPr>
      <w:r>
        <w:rPr>
          <w:rFonts w:ascii="Calibri" w:eastAsia="Calibri" w:hAnsi="Calibri" w:cs="Times New Roman"/>
          <w:lang w:eastAsia="it-IT"/>
        </w:rPr>
        <w:t xml:space="preserve">Come sopra riportato, gli interventi garantiti non sono limitati all’erogazione di contributi economici a sostegno delle diverse Manifestazioni, Eventi sportivi, Progettualità, ecc. ma anche programmi </w:t>
      </w:r>
      <w:r w:rsidR="00541CCC">
        <w:rPr>
          <w:rFonts w:ascii="Calibri" w:eastAsia="Calibri" w:hAnsi="Calibri" w:cs="Times New Roman"/>
          <w:lang w:eastAsia="it-IT"/>
        </w:rPr>
        <w:t>di</w:t>
      </w:r>
      <w:r>
        <w:rPr>
          <w:rFonts w:ascii="Calibri" w:eastAsia="Calibri" w:hAnsi="Calibri" w:cs="Times New Roman"/>
          <w:lang w:eastAsia="it-IT"/>
        </w:rPr>
        <w:t xml:space="preserve"> più ampio respiro con il coinvolgimento di diversi partner pubblici.</w:t>
      </w:r>
    </w:p>
    <w:p w:rsidR="00541CCC" w:rsidRPr="00CA0854" w:rsidRDefault="00541CCC" w:rsidP="00541CCC">
      <w:pPr>
        <w:jc w:val="both"/>
      </w:pPr>
      <w:r w:rsidRPr="00CA0854">
        <w:t>Nel corso degli anni sono stati curati i rapporti con istituzioni e diversi interlocutori, nella prospettiva di individuare strumenti e metodologie per il miglioramento del ciclo della performance all’interno delle amministrazioni e per consentire una più diffusa condivisione degli interventi da realizzare sul territorio. Le attività svolte dalla Sezione, nel complesso, sono state supportate dal Coni e Cip nel pieno rispetto degli accordi sottoscritti con tali attori.</w:t>
      </w:r>
    </w:p>
    <w:p w:rsidR="00541CCC" w:rsidRDefault="00541CCC" w:rsidP="00A2451A">
      <w:pPr>
        <w:jc w:val="both"/>
        <w:rPr>
          <w:rFonts w:ascii="Calibri" w:eastAsia="Calibri" w:hAnsi="Calibri" w:cs="Times New Roman"/>
          <w:lang w:eastAsia="it-IT"/>
        </w:rPr>
      </w:pPr>
    </w:p>
    <w:p w:rsidR="00541CCC" w:rsidRDefault="00541CCC" w:rsidP="00A2451A">
      <w:pPr>
        <w:jc w:val="both"/>
        <w:rPr>
          <w:rFonts w:ascii="Calibri" w:eastAsia="Calibri" w:hAnsi="Calibri" w:cs="Times New Roman"/>
          <w:lang w:eastAsia="it-IT"/>
        </w:rPr>
      </w:pPr>
    </w:p>
    <w:p w:rsidR="00415E86" w:rsidRPr="00A2451A" w:rsidRDefault="009447C9" w:rsidP="00A2451A">
      <w:pPr>
        <w:jc w:val="both"/>
        <w:rPr>
          <w:rFonts w:ascii="Calibri" w:eastAsia="Calibri" w:hAnsi="Calibri" w:cs="Times New Roman"/>
          <w:lang w:eastAsia="it-IT"/>
        </w:rPr>
      </w:pPr>
      <w:r>
        <w:rPr>
          <w:rFonts w:ascii="Calibri" w:eastAsia="Calibri" w:hAnsi="Calibri" w:cs="Times New Roman"/>
          <w:lang w:eastAsia="it-IT"/>
        </w:rPr>
        <w:t>Particolare attenzione è stata data ai Grandi Eventi che hanno coinvol</w:t>
      </w:r>
      <w:r w:rsidR="00415E86">
        <w:rPr>
          <w:rFonts w:ascii="Calibri" w:eastAsia="Calibri" w:hAnsi="Calibri" w:cs="Times New Roman"/>
          <w:lang w:eastAsia="it-IT"/>
        </w:rPr>
        <w:t>to la Regione come ad esempio l’individuazione a cura del</w:t>
      </w:r>
      <w:r w:rsidR="00415E86" w:rsidRPr="00415E86">
        <w:rPr>
          <w:rFonts w:ascii="Calibri" w:eastAsia="Calibri" w:hAnsi="Calibri" w:cs="Times New Roman"/>
          <w:lang w:eastAsia="it-IT"/>
        </w:rPr>
        <w:t xml:space="preserve">l’Aces Europe (Associazione che raggruppa le capitali e le città europee dello sport) </w:t>
      </w:r>
      <w:r w:rsidR="00415E86">
        <w:rPr>
          <w:rFonts w:ascii="Calibri" w:eastAsia="Calibri" w:hAnsi="Calibri" w:cs="Times New Roman"/>
          <w:lang w:eastAsia="it-IT"/>
        </w:rPr>
        <w:t xml:space="preserve">di </w:t>
      </w:r>
      <w:r w:rsidR="00415E86" w:rsidRPr="00CE46D6">
        <w:rPr>
          <w:rFonts w:ascii="Calibri" w:eastAsia="Calibri" w:hAnsi="Calibri" w:cs="Times New Roman"/>
          <w:b/>
          <w:lang w:eastAsia="it-IT"/>
        </w:rPr>
        <w:t>Grottaglie come “Città europea dello Sport 2020</w:t>
      </w:r>
      <w:r w:rsidR="00415E86" w:rsidRPr="00415E86">
        <w:rPr>
          <w:rFonts w:ascii="Calibri" w:eastAsia="Calibri" w:hAnsi="Calibri" w:cs="Times New Roman"/>
          <w:lang w:eastAsia="it-IT"/>
        </w:rPr>
        <w:t xml:space="preserve">” </w:t>
      </w:r>
      <w:r w:rsidR="00415E86">
        <w:rPr>
          <w:rFonts w:ascii="Calibri" w:eastAsia="Calibri" w:hAnsi="Calibri" w:cs="Times New Roman"/>
          <w:lang w:eastAsia="it-IT"/>
        </w:rPr>
        <w:t xml:space="preserve"> o </w:t>
      </w:r>
      <w:r w:rsidR="00415E86" w:rsidRPr="00CE46D6">
        <w:rPr>
          <w:rFonts w:ascii="Calibri" w:eastAsia="Calibri" w:hAnsi="Calibri" w:cs="Times New Roman"/>
          <w:b/>
          <w:lang w:eastAsia="it-IT"/>
        </w:rPr>
        <w:t>il Giro d’Italia Femminile</w:t>
      </w:r>
      <w:r w:rsidR="00CE46D6">
        <w:rPr>
          <w:rFonts w:ascii="Calibri" w:eastAsia="Calibri" w:hAnsi="Calibri" w:cs="Times New Roman"/>
          <w:b/>
          <w:lang w:eastAsia="it-IT"/>
        </w:rPr>
        <w:t xml:space="preserve"> 2020</w:t>
      </w:r>
      <w:r w:rsidR="00415E86">
        <w:rPr>
          <w:rFonts w:ascii="Calibri" w:eastAsia="Calibri" w:hAnsi="Calibri" w:cs="Times New Roman"/>
          <w:lang w:eastAsia="it-IT"/>
        </w:rPr>
        <w:t>.</w:t>
      </w:r>
    </w:p>
    <w:p w:rsidR="0058236B" w:rsidRPr="00CA0854" w:rsidRDefault="00B75C25" w:rsidP="00C914CB">
      <w:pPr>
        <w:jc w:val="both"/>
      </w:pPr>
      <w:r w:rsidRPr="00CA0854">
        <w:t xml:space="preserve">Sono stati sottoscritti Protocolli d’Intesa </w:t>
      </w:r>
      <w:r w:rsidR="0058236B" w:rsidRPr="00CA0854">
        <w:t xml:space="preserve">triennali </w:t>
      </w:r>
      <w:r w:rsidRPr="00CA0854">
        <w:t>tra Regione Puglia,</w:t>
      </w:r>
      <w:r w:rsidR="00624F04" w:rsidRPr="00CA0854">
        <w:t xml:space="preserve"> Università</w:t>
      </w:r>
      <w:r w:rsidR="0058236B" w:rsidRPr="00CA0854">
        <w:t xml:space="preserve"> di Foggia</w:t>
      </w:r>
      <w:r w:rsidR="00624F04" w:rsidRPr="00CA0854">
        <w:t xml:space="preserve">, </w:t>
      </w:r>
      <w:r w:rsidR="0058236B" w:rsidRPr="00CA0854">
        <w:t xml:space="preserve">Ministero </w:t>
      </w:r>
      <w:r w:rsidR="00624F04" w:rsidRPr="00CA0854">
        <w:t>dell’Istruzione e della Ricerca - Direzione Generale Ufficio Scolastico Regionale per la Puglia</w:t>
      </w:r>
      <w:r w:rsidR="0058236B" w:rsidRPr="00CA0854">
        <w:t xml:space="preserve">, CONI </w:t>
      </w:r>
      <w:r w:rsidR="00624F04" w:rsidRPr="00CA0854">
        <w:t xml:space="preserve"> ed il CIP Puglia</w:t>
      </w:r>
      <w:r w:rsidRPr="00CA0854">
        <w:t xml:space="preserve"> </w:t>
      </w:r>
      <w:r w:rsidR="0058236B" w:rsidRPr="00CA0854">
        <w:t>finalizzat</w:t>
      </w:r>
      <w:r w:rsidR="00541CCC">
        <w:t>i</w:t>
      </w:r>
      <w:r w:rsidR="0058236B" w:rsidRPr="00CA0854">
        <w:t xml:space="preserve"> a favorire la promozione degli interventi che ricadono sui rispettivi sistemi di riferimento in materia di “Educazione ai corretti stili di </w:t>
      </w:r>
      <w:r w:rsidR="00CA0854" w:rsidRPr="00CA0854">
        <w:t>vita” della popolazione scolastica.</w:t>
      </w:r>
    </w:p>
    <w:p w:rsidR="00CA0854" w:rsidRPr="00CA0854" w:rsidRDefault="00CA0854" w:rsidP="00CA0854">
      <w:pPr>
        <w:jc w:val="both"/>
      </w:pPr>
      <w:r w:rsidRPr="00CA0854">
        <w:t xml:space="preserve">Al fine di perseguire gli obiettivi propri della L.R. n. 33/2006 ed attuare le politiche regionali finalizzate alla promozione della salute e dell’inclusione sociale dei diversamente abili, </w:t>
      </w:r>
      <w:r w:rsidR="00541CCC">
        <w:t>nel 2017</w:t>
      </w:r>
      <w:r w:rsidRPr="00CA0854">
        <w:t xml:space="preserve"> è stato avviato un percorso di collaborazione con il C.I.P. Puglia e l’U.S.R, per condividere programmi ed azioni da pianificare e sviluppare a livello regionale.</w:t>
      </w:r>
    </w:p>
    <w:p w:rsidR="00CA0854" w:rsidRPr="00CA0854" w:rsidRDefault="00CA0854" w:rsidP="00CA0854">
      <w:pPr>
        <w:jc w:val="both"/>
      </w:pPr>
      <w:r w:rsidRPr="00CA0854">
        <w:t>La Regione Puglia, la Direzione Generale U.S.R.  Puglia ed il C.I.P. Puglia, nel rispetto dei ruoli e delle proprie funzioni istituzionali hanno sottoscritto una convenzione al fine di  costruire un percorso che potenzi l’Educazione Fisica nelle scuole ed aumenti il numero di studenti con disabilità da coinvolgere nei Campionati Studenteschi  delle scuole di 1° e 2° grado.</w:t>
      </w:r>
    </w:p>
    <w:p w:rsidR="00CA0854" w:rsidRDefault="00CA0854" w:rsidP="00CA0854">
      <w:pPr>
        <w:jc w:val="both"/>
      </w:pPr>
      <w:r w:rsidRPr="00CA0854">
        <w:t>Dopo tre anni la suddetta Progettazione ha moltiplicato il numero dei beneficiari diventando oggetto di osservazione di molte regioni nonché motivo di studio al fine di appurare anche sotto l’aspetto tecnico scientifico i benefici apportati ai destinatari degli interventi</w:t>
      </w:r>
      <w:r>
        <w:t xml:space="preserve"> </w:t>
      </w:r>
    </w:p>
    <w:p w:rsidR="004D10E8" w:rsidRDefault="00CA0854" w:rsidP="00E3348D">
      <w:pPr>
        <w:jc w:val="both"/>
      </w:pPr>
      <w:r>
        <w:t>P</w:t>
      </w:r>
      <w:r w:rsidR="00E3348D">
        <w:t xml:space="preserve">articolarmente intensi sono stati i rapporti con </w:t>
      </w:r>
      <w:r w:rsidR="00E3348D" w:rsidRPr="001B3446">
        <w:t xml:space="preserve">le </w:t>
      </w:r>
      <w:r w:rsidR="00E3348D" w:rsidRPr="001B3446">
        <w:rPr>
          <w:b/>
        </w:rPr>
        <w:t>Università di Bari e Foggia</w:t>
      </w:r>
      <w:r w:rsidR="0097269F">
        <w:t xml:space="preserve"> con le quali la Regione ha sottoscritto apposite e separate </w:t>
      </w:r>
      <w:r w:rsidR="004D10E8">
        <w:t>convenzioni.</w:t>
      </w:r>
    </w:p>
    <w:p w:rsidR="004D10E8" w:rsidRDefault="004D10E8" w:rsidP="00E3348D">
      <w:pPr>
        <w:jc w:val="both"/>
      </w:pPr>
      <w:r>
        <w:t xml:space="preserve">Con </w:t>
      </w:r>
      <w:r w:rsidR="0097269F">
        <w:t xml:space="preserve"> </w:t>
      </w:r>
      <w:r w:rsidR="0097269F" w:rsidRPr="00BA6E8A">
        <w:rPr>
          <w:b/>
        </w:rPr>
        <w:t xml:space="preserve">l’Università </w:t>
      </w:r>
      <w:r w:rsidR="0097269F" w:rsidRPr="001B3446">
        <w:rPr>
          <w:b/>
        </w:rPr>
        <w:t xml:space="preserve">di Bari </w:t>
      </w:r>
      <w:r w:rsidRPr="001B3446">
        <w:rPr>
          <w:b/>
        </w:rPr>
        <w:t>è</w:t>
      </w:r>
      <w:r w:rsidRPr="001B3446">
        <w:t xml:space="preserve"> stata</w:t>
      </w:r>
      <w:r w:rsidR="001B3446" w:rsidRPr="001B3446">
        <w:t xml:space="preserve"> sottoscritta una Convenzione (</w:t>
      </w:r>
      <w:r w:rsidRPr="001B3446">
        <w:t xml:space="preserve">approvata con </w:t>
      </w:r>
      <w:r w:rsidR="00D76A67" w:rsidRPr="001B3446">
        <w:t>D.G.R. n. 902/2017</w:t>
      </w:r>
      <w:r w:rsidRPr="001B3446">
        <w:t>) finalizzata alla</w:t>
      </w:r>
      <w:r w:rsidR="00DA624A">
        <w:t xml:space="preserve"> realizzazione di un P</w:t>
      </w:r>
      <w:r w:rsidR="0097269F" w:rsidRPr="001B3446">
        <w:t>rogetto di ricerca dal titolo ”Verso un regolamento regionale  per le attività motorie  e lo sport (Studio dei servizi e delle professioni per le attività motorie</w:t>
      </w:r>
      <w:r w:rsidR="0097269F" w:rsidRPr="0097269F">
        <w:t xml:space="preserve"> e sportive nel territorio della Regione Puglia- Analisi dell’organizzazione, della qualità dei servizi erogati e delle professioni sportive impiegate  a tutela del praticante)“, articolato s</w:t>
      </w:r>
      <w:r>
        <w:t>u un arco temporale di 18 mesi</w:t>
      </w:r>
      <w:r w:rsidR="00DA624A">
        <w:t>.</w:t>
      </w:r>
    </w:p>
    <w:p w:rsidR="0097269F" w:rsidRDefault="004D10E8" w:rsidP="00E3348D">
      <w:pPr>
        <w:jc w:val="both"/>
      </w:pPr>
      <w:r>
        <w:t xml:space="preserve">Con </w:t>
      </w:r>
      <w:r w:rsidR="0097269F" w:rsidRPr="00BA6E8A">
        <w:rPr>
          <w:b/>
        </w:rPr>
        <w:t>l’Università di Foggia</w:t>
      </w:r>
      <w:r w:rsidR="0097269F">
        <w:t xml:space="preserve"> </w:t>
      </w:r>
      <w:r w:rsidR="009C7C8E">
        <w:t xml:space="preserve">si è inteso proseguire il </w:t>
      </w:r>
      <w:r w:rsidR="009C7C8E" w:rsidRPr="009C7C8E">
        <w:t>Programma interassessorile di Educazione ai corretti stili di vita realizza</w:t>
      </w:r>
      <w:r w:rsidR="009C7C8E">
        <w:t xml:space="preserve">to </w:t>
      </w:r>
      <w:r w:rsidR="009C7C8E" w:rsidRPr="009C7C8E">
        <w:t>sul territorio regionale nel triennio scolastico 2012/2013, 2013/2014, 2014/2015, denominato Programma SBAM</w:t>
      </w:r>
      <w:r w:rsidR="009C7C8E" w:rsidRPr="001B3446">
        <w:t xml:space="preserve">.  Con DGR </w:t>
      </w:r>
      <w:r w:rsidR="00D76A67" w:rsidRPr="001B3446">
        <w:t>n. 901/2017</w:t>
      </w:r>
      <w:r w:rsidR="009C7C8E" w:rsidRPr="001B3446">
        <w:t xml:space="preserve"> è stata approvata la Convenzione che disciplina i rapporti tra le parti con il coinvolgimento del Coni Puglia.</w:t>
      </w:r>
    </w:p>
    <w:p w:rsidR="001C045B" w:rsidRDefault="001C045B" w:rsidP="001C045B">
      <w:pPr>
        <w:jc w:val="both"/>
      </w:pPr>
      <w:r>
        <w:t>Inoltre è stata consolidata la collaborazione tra la Regione Puglia ed il Ministero della Giustizia Dipartimento Giustizia Minorile e di Comunità – Centro per la  Giustizia Minorile per la Puglia e la Basilicata. Ogni tre anni è stato sottoscritto apposito Protocollo d’Intesa tra Regione Puglia e  Ministero della Giustizia Dipartimento Giustizia Minorile e di Comunità – Centro per la  Giustizia Minorile per la Puglia e la Basilicata e Convenzione annuale finalizzata a realizzare diverse progettualità in favore</w:t>
      </w:r>
      <w:r w:rsidR="003E42DB" w:rsidRPr="003E42DB">
        <w:t xml:space="preserve"> dell’utenza dell’area penale interna ed esterna in carico al Centro Giustizia Minoril</w:t>
      </w:r>
      <w:r w:rsidR="003E42DB">
        <w:t>e per la Puglia e la Basilicata</w:t>
      </w:r>
      <w:r w:rsidR="00863985">
        <w:t>.</w:t>
      </w:r>
    </w:p>
    <w:p w:rsidR="00863985" w:rsidRPr="001B3446" w:rsidRDefault="00863985" w:rsidP="001C045B">
      <w:pPr>
        <w:jc w:val="both"/>
      </w:pPr>
      <w:r>
        <w:t xml:space="preserve">Sono stati sottoscritti Accordi con le diverse Agenzie Regionali quali l’ASSET, ARESS, </w:t>
      </w:r>
      <w:r w:rsidR="00216F05">
        <w:t xml:space="preserve">Puglia Promozione, ecc. al fine di convogliare verso un unico obiettivo le singole risorse finanziarie , professionali e tecniche. </w:t>
      </w:r>
    </w:p>
    <w:p w:rsidR="009C7C8E" w:rsidRDefault="009C7C8E" w:rsidP="009C7C8E">
      <w:pPr>
        <w:jc w:val="both"/>
      </w:pPr>
      <w:r w:rsidRPr="001B3446">
        <w:lastRenderedPageBreak/>
        <w:t>Molteplici sono stati gli incontri di lavoro, con entrambe le</w:t>
      </w:r>
      <w:r w:rsidR="001B1D66" w:rsidRPr="001B3446">
        <w:t xml:space="preserve"> U</w:t>
      </w:r>
      <w:r w:rsidRPr="001B3446">
        <w:t>niversità</w:t>
      </w:r>
      <w:r w:rsidR="00CE46D6">
        <w:t xml:space="preserve"> Foggia e Bari</w:t>
      </w:r>
      <w:r w:rsidRPr="001B3446">
        <w:t xml:space="preserve">, finalizzati </w:t>
      </w:r>
      <w:r w:rsidR="00114B95" w:rsidRPr="001B3446">
        <w:t xml:space="preserve">anche </w:t>
      </w:r>
      <w:r w:rsidRPr="001B3446">
        <w:t xml:space="preserve">a delineare proposte di </w:t>
      </w:r>
      <w:r w:rsidR="00D76A67" w:rsidRPr="001B3446">
        <w:t xml:space="preserve">Legge, di </w:t>
      </w:r>
      <w:r w:rsidRPr="001B3446">
        <w:t>Regolamento Regionale in materia di sport o</w:t>
      </w:r>
      <w:r>
        <w:t xml:space="preserve"> di modifica alla L.R. n. 33/2006.</w:t>
      </w:r>
    </w:p>
    <w:p w:rsidR="0016541C" w:rsidRDefault="0016541C" w:rsidP="009C7C8E">
      <w:pPr>
        <w:jc w:val="both"/>
      </w:pPr>
      <w:r>
        <w:t>In particolare si evidenzia</w:t>
      </w:r>
      <w:r w:rsidR="008E7C60">
        <w:t>no i lavori effettuati che hanno portato al</w:t>
      </w:r>
      <w:r>
        <w:t>l’approvazione</w:t>
      </w:r>
      <w:r w:rsidR="008E7C60">
        <w:t>,</w:t>
      </w:r>
      <w:r>
        <w:t xml:space="preserve"> in data </w:t>
      </w:r>
      <w:r w:rsidR="008E7C60">
        <w:t xml:space="preserve">18 maggio 2017, </w:t>
      </w:r>
      <w:r>
        <w:t>della Legge Regionale n. 14 “ Norme in materia di riconoscimento, svolgimento, promozione e tutela  dell’Attività fisica adattata (AFA)- Modifica e integrazione alla legge regionale 4 dicembre 2006, n. 33 (Norme per lo sviluppo dello sport per tutte e per tutti)”.</w:t>
      </w:r>
    </w:p>
    <w:p w:rsidR="00347FB8" w:rsidRDefault="00CE46D6" w:rsidP="006B6EE2">
      <w:pPr>
        <w:jc w:val="both"/>
      </w:pPr>
      <w:r>
        <w:t xml:space="preserve">Non è mancata la collaborazione </w:t>
      </w:r>
      <w:r w:rsidR="006B6EE2">
        <w:t xml:space="preserve">con </w:t>
      </w:r>
      <w:r w:rsidR="006B6EE2" w:rsidRPr="00A32915">
        <w:rPr>
          <w:b/>
          <w:highlight w:val="yellow"/>
        </w:rPr>
        <w:t>l’Istituto del Credito Sportivo</w:t>
      </w:r>
      <w:r w:rsidR="006B6EE2">
        <w:rPr>
          <w:b/>
        </w:rPr>
        <w:t xml:space="preserve"> </w:t>
      </w:r>
      <w:r w:rsidR="006B6EE2" w:rsidRPr="00347FB8">
        <w:t>con il quale è in atto una</w:t>
      </w:r>
      <w:r w:rsidR="006B6EE2">
        <w:rPr>
          <w:b/>
        </w:rPr>
        <w:t xml:space="preserve"> </w:t>
      </w:r>
      <w:r w:rsidR="00347FB8">
        <w:t>Convenzione finalizzata a</w:t>
      </w:r>
      <w:r w:rsidR="00347FB8">
        <w:rPr>
          <w:b/>
        </w:rPr>
        <w:t xml:space="preserve"> </w:t>
      </w:r>
      <w:r w:rsidR="006B6EE2">
        <w:t>concedere ai soggetti</w:t>
      </w:r>
      <w:r w:rsidR="00347FB8">
        <w:t xml:space="preserve"> previsti dalla </w:t>
      </w:r>
      <w:r w:rsidR="006B6EE2">
        <w:t xml:space="preserve">L.R. n. 33/2006 mutui </w:t>
      </w:r>
      <w:r w:rsidR="00700733">
        <w:t>per la</w:t>
      </w:r>
      <w:r w:rsidR="006B6EE2">
        <w:t xml:space="preserve"> costruzione, miglioramento, ristrutturazione, ampliamento,</w:t>
      </w:r>
      <w:r w:rsidR="00347FB8">
        <w:t xml:space="preserve"> c</w:t>
      </w:r>
      <w:r w:rsidR="006B6EE2">
        <w:t>ompletamento, efficientamento energetico e messa a norma di impianti sportivi e/o strumentali all’attività</w:t>
      </w:r>
      <w:r w:rsidR="00347FB8">
        <w:t xml:space="preserve"> </w:t>
      </w:r>
      <w:r w:rsidR="006B6EE2">
        <w:t>sportiva ivi compresa l’acquisizione delle relative aree, nonché all’acquisto di immobili da destinare ad attività</w:t>
      </w:r>
      <w:r w:rsidR="00347FB8">
        <w:t xml:space="preserve"> </w:t>
      </w:r>
      <w:r w:rsidR="006B6EE2">
        <w:t>sportive o strumentali a queste.</w:t>
      </w:r>
      <w:r w:rsidR="00347FB8">
        <w:t xml:space="preserve"> </w:t>
      </w:r>
    </w:p>
    <w:p w:rsidR="00426C36" w:rsidRDefault="00235439" w:rsidP="00096256">
      <w:pPr>
        <w:jc w:val="both"/>
      </w:pPr>
      <w:r>
        <w:t>C</w:t>
      </w:r>
      <w:r w:rsidRPr="00235439">
        <w:t xml:space="preserve">onsiderato che gli interventi regionali in materia di impiantistica sportiva, previsti dalla vigente legge regionale 33/2006 e s.m.i., attraverso l’erogazione di contributi in conto interessi, sono finalizzati, tra l’altro, alla riqualificazione del patrimonio impiantistico regionale, compreso le opere accessorie agli impianti purché complementari agli stessi, e che numerose sono le richieste in tal senso da parte dei soggetti pubblici e privati operanti in materia, </w:t>
      </w:r>
      <w:r>
        <w:t>è stata approvata dalla Giunta Regionale</w:t>
      </w:r>
      <w:r w:rsidRPr="00235439">
        <w:t xml:space="preserve"> la Convenzione tra la Regione Puglia - Assessorato allo Sport, l’ Istituto per il Credito Sportivo e Puglia Sviluppo S.p.a., valida per il triennio 2019-2021</w:t>
      </w:r>
    </w:p>
    <w:p w:rsidR="00B92D97" w:rsidRDefault="00B92D97" w:rsidP="00096256">
      <w:pPr>
        <w:jc w:val="both"/>
      </w:pPr>
      <w:r>
        <w:t>Da non sottovalutare sono gli interventi del 2017 e 2019 in materia di impiantistica sportiva che hanno permesso ad una moltitudine di Comuni ed Associazioni sportive di poter accedere ai contributi così come riportato nelle tabelle a pag. 2</w:t>
      </w:r>
    </w:p>
    <w:p w:rsidR="009D0745" w:rsidRDefault="009D0745" w:rsidP="009D0745">
      <w:pPr>
        <w:jc w:val="both"/>
      </w:pPr>
      <w:r>
        <w:t xml:space="preserve">Non è mancata l’attività di ricerca. Al fine di perseguire gli obiettivi  individuati nelle Programmazioni Triennali e per </w:t>
      </w:r>
      <w:r w:rsidRPr="00743B64">
        <w:t xml:space="preserve">facilitare </w:t>
      </w:r>
      <w:r w:rsidRPr="00541CCC">
        <w:t xml:space="preserve">la conoscenza critica del sistema sportivo e produrre una conseguente riflessione sulla nuova programmazione regionale in materia di sport per l’anno 2017, è stata condotta in collaborazione con il CONI (Convenzione Regione Puglia - CONI Puglia del 1/03/2017) </w:t>
      </w:r>
      <w:r w:rsidRPr="00541CCC">
        <w:rPr>
          <w:b/>
        </w:rPr>
        <w:t>un’attività di indagine conoscitiva</w:t>
      </w:r>
      <w:r w:rsidRPr="00541CCC">
        <w:t xml:space="preserve"> sulla domanda e offerta di sport coinvolgendo tutti i principali soggetti del mondo sportivo.</w:t>
      </w:r>
    </w:p>
    <w:p w:rsidR="00135BF3" w:rsidRDefault="009D0745" w:rsidP="005B3991">
      <w:pPr>
        <w:jc w:val="both"/>
      </w:pPr>
      <w:r>
        <w:t xml:space="preserve">Concludendo si può affermare che nel quinquennio sono state rispettate le Programmazioni triennali ed annuali </w:t>
      </w:r>
      <w:r w:rsidR="00714A81">
        <w:t xml:space="preserve">adottate dalla Giunta regionale  consolidando </w:t>
      </w:r>
      <w:r w:rsidR="00135BF3">
        <w:t>le buone prassi ed avvia</w:t>
      </w:r>
      <w:r w:rsidR="00714A81">
        <w:t>ndo</w:t>
      </w:r>
      <w:r w:rsidR="00135BF3">
        <w:t xml:space="preserve"> nuove progettualità.</w:t>
      </w:r>
    </w:p>
    <w:p w:rsidR="00235439" w:rsidRDefault="00235439" w:rsidP="005B3991">
      <w:pPr>
        <w:jc w:val="both"/>
      </w:pPr>
    </w:p>
    <w:p w:rsidR="00096256" w:rsidRDefault="00096256" w:rsidP="005B3991">
      <w:pPr>
        <w:jc w:val="both"/>
      </w:pPr>
    </w:p>
    <w:p w:rsidR="00235439" w:rsidRDefault="00235439" w:rsidP="005B3991">
      <w:pPr>
        <w:jc w:val="both"/>
        <w:rPr>
          <w:color w:val="FF0000"/>
        </w:rPr>
      </w:pPr>
    </w:p>
    <w:sectPr w:rsidR="00235439">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57" w:rsidRDefault="003F3B57" w:rsidP="00C33E83">
      <w:pPr>
        <w:spacing w:after="0" w:line="240" w:lineRule="auto"/>
      </w:pPr>
      <w:r>
        <w:separator/>
      </w:r>
    </w:p>
  </w:endnote>
  <w:endnote w:type="continuationSeparator" w:id="0">
    <w:p w:rsidR="003F3B57" w:rsidRDefault="003F3B57" w:rsidP="00C3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19862"/>
      <w:docPartObj>
        <w:docPartGallery w:val="Page Numbers (Bottom of Page)"/>
        <w:docPartUnique/>
      </w:docPartObj>
    </w:sdtPr>
    <w:sdtEndPr/>
    <w:sdtContent>
      <w:p w:rsidR="00C33E83" w:rsidRDefault="00C33E83">
        <w:pPr>
          <w:pStyle w:val="Pidipagina"/>
          <w:jc w:val="center"/>
        </w:pPr>
        <w:r>
          <w:fldChar w:fldCharType="begin"/>
        </w:r>
        <w:r>
          <w:instrText>PAGE   \* MERGEFORMAT</w:instrText>
        </w:r>
        <w:r>
          <w:fldChar w:fldCharType="separate"/>
        </w:r>
        <w:r w:rsidR="002763C4">
          <w:rPr>
            <w:noProof/>
          </w:rPr>
          <w:t>1</w:t>
        </w:r>
        <w:r>
          <w:fldChar w:fldCharType="end"/>
        </w:r>
      </w:p>
    </w:sdtContent>
  </w:sdt>
  <w:p w:rsidR="00C33E83" w:rsidRDefault="00C33E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57" w:rsidRDefault="003F3B57" w:rsidP="00C33E83">
      <w:pPr>
        <w:spacing w:after="0" w:line="240" w:lineRule="auto"/>
      </w:pPr>
      <w:r>
        <w:separator/>
      </w:r>
    </w:p>
  </w:footnote>
  <w:footnote w:type="continuationSeparator" w:id="0">
    <w:p w:rsidR="003F3B57" w:rsidRDefault="003F3B57" w:rsidP="00C33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0B6"/>
    <w:multiLevelType w:val="hybridMultilevel"/>
    <w:tmpl w:val="CE32DB46"/>
    <w:lvl w:ilvl="0" w:tplc="A6E07346">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A207E0"/>
    <w:multiLevelType w:val="hybridMultilevel"/>
    <w:tmpl w:val="7AEE9008"/>
    <w:lvl w:ilvl="0" w:tplc="78CE11EC">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1A048B"/>
    <w:multiLevelType w:val="hybridMultilevel"/>
    <w:tmpl w:val="E078EE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38B1F77"/>
    <w:multiLevelType w:val="hybridMultilevel"/>
    <w:tmpl w:val="7B82A66E"/>
    <w:lvl w:ilvl="0" w:tplc="78CE11EC">
      <w:start w:val="1"/>
      <w:numFmt w:val="bullet"/>
      <w:lvlText w:val="-"/>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185A22"/>
    <w:multiLevelType w:val="hybridMultilevel"/>
    <w:tmpl w:val="8DAA562E"/>
    <w:lvl w:ilvl="0" w:tplc="23EEECC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3C"/>
    <w:rsid w:val="000112B1"/>
    <w:rsid w:val="0007458C"/>
    <w:rsid w:val="00096256"/>
    <w:rsid w:val="000F70E8"/>
    <w:rsid w:val="000F711D"/>
    <w:rsid w:val="00114B95"/>
    <w:rsid w:val="00135BF3"/>
    <w:rsid w:val="00152D8D"/>
    <w:rsid w:val="0016541C"/>
    <w:rsid w:val="0017119C"/>
    <w:rsid w:val="001B1D66"/>
    <w:rsid w:val="001B3446"/>
    <w:rsid w:val="001B6F5F"/>
    <w:rsid w:val="001C045B"/>
    <w:rsid w:val="001F5934"/>
    <w:rsid w:val="002147C5"/>
    <w:rsid w:val="00216BB9"/>
    <w:rsid w:val="00216F05"/>
    <w:rsid w:val="00235439"/>
    <w:rsid w:val="00251D72"/>
    <w:rsid w:val="00275AE5"/>
    <w:rsid w:val="002763C4"/>
    <w:rsid w:val="002B71C6"/>
    <w:rsid w:val="002D04AF"/>
    <w:rsid w:val="00347FB8"/>
    <w:rsid w:val="003C693C"/>
    <w:rsid w:val="003E1939"/>
    <w:rsid w:val="003E42DB"/>
    <w:rsid w:val="003F2FA0"/>
    <w:rsid w:val="003F3B57"/>
    <w:rsid w:val="00415E86"/>
    <w:rsid w:val="00426C36"/>
    <w:rsid w:val="004D10E8"/>
    <w:rsid w:val="00541CCC"/>
    <w:rsid w:val="00547287"/>
    <w:rsid w:val="005820AB"/>
    <w:rsid w:val="0058236B"/>
    <w:rsid w:val="005B3991"/>
    <w:rsid w:val="005D0EF1"/>
    <w:rsid w:val="006239EE"/>
    <w:rsid w:val="00624F04"/>
    <w:rsid w:val="0062712C"/>
    <w:rsid w:val="00647532"/>
    <w:rsid w:val="006837CA"/>
    <w:rsid w:val="00692B26"/>
    <w:rsid w:val="006B6EE2"/>
    <w:rsid w:val="006F2647"/>
    <w:rsid w:val="006F4E60"/>
    <w:rsid w:val="006F7F03"/>
    <w:rsid w:val="00700733"/>
    <w:rsid w:val="0071224F"/>
    <w:rsid w:val="00714A81"/>
    <w:rsid w:val="00743B64"/>
    <w:rsid w:val="00766FBC"/>
    <w:rsid w:val="00786CDA"/>
    <w:rsid w:val="00791447"/>
    <w:rsid w:val="00863985"/>
    <w:rsid w:val="008A1997"/>
    <w:rsid w:val="008A3101"/>
    <w:rsid w:val="008D381D"/>
    <w:rsid w:val="008E7C60"/>
    <w:rsid w:val="0090674A"/>
    <w:rsid w:val="009359FC"/>
    <w:rsid w:val="009447C9"/>
    <w:rsid w:val="0097269F"/>
    <w:rsid w:val="0097440C"/>
    <w:rsid w:val="00984BE7"/>
    <w:rsid w:val="00985950"/>
    <w:rsid w:val="009C7C8E"/>
    <w:rsid w:val="009D0745"/>
    <w:rsid w:val="00A07B72"/>
    <w:rsid w:val="00A2451A"/>
    <w:rsid w:val="00A31B1E"/>
    <w:rsid w:val="00A32915"/>
    <w:rsid w:val="00A46968"/>
    <w:rsid w:val="00A635BB"/>
    <w:rsid w:val="00A63FB1"/>
    <w:rsid w:val="00A7043C"/>
    <w:rsid w:val="00B40FDB"/>
    <w:rsid w:val="00B540D2"/>
    <w:rsid w:val="00B75C25"/>
    <w:rsid w:val="00B92D97"/>
    <w:rsid w:val="00BA6E8A"/>
    <w:rsid w:val="00BD2054"/>
    <w:rsid w:val="00C15CB1"/>
    <w:rsid w:val="00C321E7"/>
    <w:rsid w:val="00C33E83"/>
    <w:rsid w:val="00C348F2"/>
    <w:rsid w:val="00C60742"/>
    <w:rsid w:val="00C914CB"/>
    <w:rsid w:val="00CA0854"/>
    <w:rsid w:val="00CB6940"/>
    <w:rsid w:val="00CD4089"/>
    <w:rsid w:val="00CE46D6"/>
    <w:rsid w:val="00D402E9"/>
    <w:rsid w:val="00D74346"/>
    <w:rsid w:val="00D76A67"/>
    <w:rsid w:val="00DA624A"/>
    <w:rsid w:val="00DB0ACF"/>
    <w:rsid w:val="00E30EF8"/>
    <w:rsid w:val="00E3348D"/>
    <w:rsid w:val="00E67018"/>
    <w:rsid w:val="00EB51AC"/>
    <w:rsid w:val="00ED46D9"/>
    <w:rsid w:val="00F21BB4"/>
    <w:rsid w:val="00F40C3A"/>
    <w:rsid w:val="00F55526"/>
    <w:rsid w:val="00F8729D"/>
    <w:rsid w:val="00FC3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3452D-4881-4202-B40D-7ECBE93F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5526"/>
    <w:rPr>
      <w:color w:val="0000FF" w:themeColor="hyperlink"/>
      <w:u w:val="single"/>
    </w:rPr>
  </w:style>
  <w:style w:type="paragraph" w:styleId="Paragrafoelenco">
    <w:name w:val="List Paragraph"/>
    <w:basedOn w:val="Normale"/>
    <w:uiPriority w:val="34"/>
    <w:qFormat/>
    <w:rsid w:val="00C914CB"/>
    <w:pPr>
      <w:ind w:left="720"/>
      <w:contextualSpacing/>
    </w:pPr>
  </w:style>
  <w:style w:type="paragraph" w:styleId="Testofumetto">
    <w:name w:val="Balloon Text"/>
    <w:basedOn w:val="Normale"/>
    <w:link w:val="TestofumettoCarattere"/>
    <w:uiPriority w:val="99"/>
    <w:semiHidden/>
    <w:unhideWhenUsed/>
    <w:rsid w:val="00D402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02E9"/>
    <w:rPr>
      <w:rFonts w:ascii="Tahoma" w:hAnsi="Tahoma" w:cs="Tahoma"/>
      <w:sz w:val="16"/>
      <w:szCs w:val="16"/>
    </w:rPr>
  </w:style>
  <w:style w:type="paragraph" w:styleId="Intestazione">
    <w:name w:val="header"/>
    <w:basedOn w:val="Normale"/>
    <w:link w:val="IntestazioneCarattere"/>
    <w:uiPriority w:val="99"/>
    <w:unhideWhenUsed/>
    <w:rsid w:val="00C33E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3E83"/>
  </w:style>
  <w:style w:type="paragraph" w:styleId="Pidipagina">
    <w:name w:val="footer"/>
    <w:basedOn w:val="Normale"/>
    <w:link w:val="PidipaginaCarattere"/>
    <w:uiPriority w:val="99"/>
    <w:unhideWhenUsed/>
    <w:rsid w:val="00C33E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C971-D353-4B25-80CB-492D67B6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7799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Utente21A</dc:creator>
  <cp:lastModifiedBy>Montenegro, Monica</cp:lastModifiedBy>
  <cp:revision>2</cp:revision>
  <cp:lastPrinted>2020-10-23T11:35:00Z</cp:lastPrinted>
  <dcterms:created xsi:type="dcterms:W3CDTF">2020-10-23T16:39:00Z</dcterms:created>
  <dcterms:modified xsi:type="dcterms:W3CDTF">2020-10-23T16:39:00Z</dcterms:modified>
</cp:coreProperties>
</file>